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EA" w:rsidRPr="00001EFB" w:rsidRDefault="00702B36" w:rsidP="001840E8">
      <w:pPr>
        <w:jc w:val="center"/>
        <w:rPr>
          <w:sz w:val="44"/>
          <w:szCs w:val="44"/>
        </w:rPr>
      </w:pPr>
      <w:r>
        <w:rPr>
          <w:sz w:val="44"/>
          <w:szCs w:val="44"/>
        </w:rPr>
        <w:t>Lohn und Beschäftigung</w:t>
      </w:r>
    </w:p>
    <w:p w:rsidR="001840E8" w:rsidRDefault="001840E8" w:rsidP="00792361">
      <w:pPr>
        <w:jc w:val="center"/>
      </w:pPr>
      <w:r w:rsidRPr="001840E8">
        <w:t xml:space="preserve">Nach </w:t>
      </w:r>
      <w:r w:rsidR="00F33CD3">
        <w:t xml:space="preserve">Egmont </w:t>
      </w:r>
      <w:proofErr w:type="spellStart"/>
      <w:r w:rsidR="00F33CD3">
        <w:t>Kakarot-Handtke</w:t>
      </w:r>
      <w:proofErr w:type="spellEnd"/>
      <w:r w:rsidR="00267915">
        <w:t xml:space="preserve"> (</w:t>
      </w:r>
      <w:hyperlink r:id="rId7" w:history="1">
        <w:r w:rsidR="00435BB6" w:rsidRPr="00435BB6">
          <w:rPr>
            <w:rStyle w:val="Hyperlink"/>
          </w:rPr>
          <w:t>2015</w:t>
        </w:r>
      </w:hyperlink>
      <w:r w:rsidR="00435BB6">
        <w:t>),</w:t>
      </w:r>
      <w:r w:rsidR="00293688">
        <w:t xml:space="preserve"> Hansjörg Herr (</w:t>
      </w:r>
      <w:hyperlink r:id="rId8" w:history="1">
        <w:r w:rsidR="00293688" w:rsidRPr="001F3F80">
          <w:rPr>
            <w:rStyle w:val="Hyperlink"/>
          </w:rPr>
          <w:t>2013</w:t>
        </w:r>
      </w:hyperlink>
      <w:r w:rsidR="00293688">
        <w:t>)</w:t>
      </w:r>
    </w:p>
    <w:p w:rsidR="00B06EA6" w:rsidRDefault="00F33CD3" w:rsidP="00057967">
      <w:pPr>
        <w:spacing w:before="120"/>
        <w:rPr>
          <w:rFonts w:ascii="Verdana" w:hAnsi="Verdana"/>
        </w:rPr>
      </w:pPr>
      <w:r w:rsidRPr="00A963C5">
        <w:rPr>
          <w:rFonts w:ascii="Verdana" w:hAnsi="Verdana"/>
          <w:b/>
          <w:i/>
        </w:rPr>
        <w:t>Mikro</w:t>
      </w:r>
      <w:r w:rsidRPr="00331A73">
        <w:rPr>
          <w:rFonts w:ascii="Verdana" w:hAnsi="Verdana"/>
          <w:i/>
        </w:rPr>
        <w:t>ökonomisch</w:t>
      </w:r>
      <w:r w:rsidR="00702B36">
        <w:rPr>
          <w:rFonts w:ascii="Verdana" w:hAnsi="Verdana"/>
        </w:rPr>
        <w:t xml:space="preserve"> scheint </w:t>
      </w:r>
      <w:r w:rsidR="00331A73">
        <w:rPr>
          <w:rFonts w:ascii="Verdana" w:hAnsi="Verdana"/>
        </w:rPr>
        <w:t>ein</w:t>
      </w:r>
      <w:r w:rsidR="00702B36">
        <w:rPr>
          <w:rFonts w:ascii="Verdana" w:hAnsi="Verdana"/>
        </w:rPr>
        <w:t xml:space="preserve"> höherer Lohn </w:t>
      </w:r>
      <w:r w:rsidR="00692B8F">
        <w:rPr>
          <w:rFonts w:ascii="Verdana" w:hAnsi="Verdana"/>
        </w:rPr>
        <w:t xml:space="preserve">eine </w:t>
      </w:r>
      <w:r w:rsidR="00702B36">
        <w:rPr>
          <w:rFonts w:ascii="Verdana" w:hAnsi="Verdana"/>
        </w:rPr>
        <w:t>geringere Beschäftigung</w:t>
      </w:r>
      <w:r w:rsidR="00331A73">
        <w:rPr>
          <w:rFonts w:ascii="Verdana" w:hAnsi="Verdana"/>
        </w:rPr>
        <w:t xml:space="preserve"> zu bewirken</w:t>
      </w:r>
      <w:r w:rsidR="00702B36">
        <w:rPr>
          <w:rFonts w:ascii="Verdana" w:hAnsi="Verdana"/>
        </w:rPr>
        <w:t xml:space="preserve"> — denn der Arbeitgeber versucht</w:t>
      </w:r>
      <w:r w:rsidR="00336FFD">
        <w:rPr>
          <w:rFonts w:ascii="Verdana" w:hAnsi="Verdana"/>
        </w:rPr>
        <w:t>,</w:t>
      </w:r>
      <w:r w:rsidR="00702B36">
        <w:rPr>
          <w:rFonts w:ascii="Verdana" w:hAnsi="Verdana"/>
        </w:rPr>
        <w:t xml:space="preserve"> seine </w:t>
      </w:r>
      <w:r w:rsidR="00692B8F">
        <w:rPr>
          <w:rFonts w:ascii="Verdana" w:hAnsi="Verdana"/>
        </w:rPr>
        <w:t>Lohnkos</w:t>
      </w:r>
      <w:r w:rsidR="00692B8F">
        <w:rPr>
          <w:rFonts w:ascii="Verdana" w:hAnsi="Verdana"/>
        </w:rPr>
        <w:softHyphen/>
        <w:t>ten konstant zu halten und entlässt die</w:t>
      </w:r>
      <w:r w:rsidR="00702B36">
        <w:rPr>
          <w:rFonts w:ascii="Verdana" w:hAnsi="Verdana"/>
        </w:rPr>
        <w:t xml:space="preserve"> </w:t>
      </w:r>
      <w:r w:rsidR="004F2C37">
        <w:rPr>
          <w:rFonts w:ascii="Verdana" w:hAnsi="Verdana"/>
        </w:rPr>
        <w:t xml:space="preserve">überzähligen </w:t>
      </w:r>
      <w:r w:rsidR="00702B36">
        <w:rPr>
          <w:rFonts w:ascii="Verdana" w:hAnsi="Verdana"/>
        </w:rPr>
        <w:t>(unproduktivsten) Arbeit</w:t>
      </w:r>
      <w:r w:rsidR="00702B36">
        <w:rPr>
          <w:rFonts w:ascii="Verdana" w:hAnsi="Verdana"/>
        </w:rPr>
        <w:softHyphen/>
        <w:t>neh</w:t>
      </w:r>
      <w:r w:rsidR="00702B36">
        <w:rPr>
          <w:rFonts w:ascii="Verdana" w:hAnsi="Verdana"/>
        </w:rPr>
        <w:softHyphen/>
      </w:r>
      <w:r w:rsidR="00B06EA6">
        <w:rPr>
          <w:rFonts w:ascii="Verdana" w:hAnsi="Verdana"/>
        </w:rPr>
        <w:t>mer.</w:t>
      </w:r>
    </w:p>
    <w:p w:rsidR="00CB5455" w:rsidRDefault="00702B36" w:rsidP="002D45BC">
      <w:pPr>
        <w:spacing w:before="80"/>
        <w:rPr>
          <w:rFonts w:ascii="Verdana" w:hAnsi="Verdana"/>
        </w:rPr>
      </w:pPr>
      <w:r>
        <w:rPr>
          <w:rFonts w:ascii="Verdana" w:hAnsi="Verdana"/>
        </w:rPr>
        <w:t xml:space="preserve">Doch wie verhält es sich </w:t>
      </w:r>
      <w:r w:rsidRPr="00A963C5">
        <w:rPr>
          <w:rFonts w:ascii="Verdana" w:hAnsi="Verdana"/>
          <w:b/>
          <w:i/>
        </w:rPr>
        <w:t>makro</w:t>
      </w:r>
      <w:r w:rsidRPr="00331A73">
        <w:rPr>
          <w:rFonts w:ascii="Verdana" w:hAnsi="Verdana"/>
          <w:i/>
        </w:rPr>
        <w:t>ökonomisch</w:t>
      </w:r>
      <w:r w:rsidR="00324DF1">
        <w:rPr>
          <w:rFonts w:ascii="Verdana" w:hAnsi="Verdana"/>
        </w:rPr>
        <w:t>, also in der gesamten Volks</w:t>
      </w:r>
      <w:r w:rsidR="005E6C82">
        <w:rPr>
          <w:rFonts w:ascii="Verdana" w:hAnsi="Verdana"/>
        </w:rPr>
        <w:softHyphen/>
      </w:r>
      <w:r w:rsidR="00324DF1">
        <w:rPr>
          <w:rFonts w:ascii="Verdana" w:hAnsi="Verdana"/>
        </w:rPr>
        <w:t>wirt</w:t>
      </w:r>
      <w:r w:rsidR="00B06EA6">
        <w:rPr>
          <w:rFonts w:ascii="Verdana" w:hAnsi="Verdana"/>
        </w:rPr>
        <w:softHyphen/>
      </w:r>
      <w:r w:rsidR="00324DF1">
        <w:rPr>
          <w:rFonts w:ascii="Verdana" w:hAnsi="Verdana"/>
        </w:rPr>
        <w:t>schaft</w:t>
      </w:r>
      <w:r w:rsidR="00B06EA6">
        <w:rPr>
          <w:rFonts w:ascii="Verdana" w:hAnsi="Verdana"/>
        </w:rPr>
        <w:t xml:space="preserve"> unter Berücksichtigung des Geldkreislaufs</w:t>
      </w:r>
      <w:r>
        <w:rPr>
          <w:rFonts w:ascii="Verdana" w:hAnsi="Verdana"/>
        </w:rPr>
        <w:t>?</w:t>
      </w:r>
    </w:p>
    <w:p w:rsidR="00CB5455" w:rsidRDefault="00CB5455" w:rsidP="00CB5455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</w:t>
      </w:r>
      <w:r>
        <w:rPr>
          <w:rFonts w:ascii="Verdana" w:hAnsi="Verdana"/>
        </w:rPr>
        <w:t xml:space="preserve">Lohn und Beschäftigung </w:t>
      </w:r>
      <w:r w:rsidR="005E6C82">
        <w:rPr>
          <w:rFonts w:ascii="Verdana" w:hAnsi="Verdana"/>
        </w:rPr>
        <w:t>hängen</w:t>
      </w:r>
      <w:r>
        <w:rPr>
          <w:rFonts w:ascii="Verdana" w:hAnsi="Verdana"/>
        </w:rPr>
        <w:t xml:space="preserve"> </w:t>
      </w:r>
      <w:r w:rsidR="006C116B">
        <w:rPr>
          <w:rFonts w:ascii="Verdana" w:hAnsi="Verdana"/>
        </w:rPr>
        <w:t xml:space="preserve">in erster Linie </w:t>
      </w:r>
      <w:r w:rsidR="00331A73">
        <w:rPr>
          <w:rFonts w:ascii="Verdana" w:hAnsi="Verdana"/>
        </w:rPr>
        <w:t>vo</w:t>
      </w:r>
      <w:r>
        <w:rPr>
          <w:rFonts w:ascii="Verdana" w:hAnsi="Verdana"/>
        </w:rPr>
        <w:t xml:space="preserve">m </w:t>
      </w:r>
      <w:proofErr w:type="spellStart"/>
      <w:r w:rsidRPr="003A45F7">
        <w:rPr>
          <w:rFonts w:ascii="Verdana" w:hAnsi="Verdana"/>
        </w:rPr>
        <w:t>Produkt</w:t>
      </w:r>
      <w:r w:rsidR="005E6C82" w:rsidRPr="003A45F7">
        <w:rPr>
          <w:rFonts w:ascii="Verdana" w:hAnsi="Verdana"/>
        </w:rPr>
        <w:softHyphen/>
      </w:r>
      <w:r w:rsidRPr="003A45F7">
        <w:rPr>
          <w:rFonts w:ascii="Verdana" w:hAnsi="Verdana"/>
        </w:rPr>
        <w:t>markt</w:t>
      </w:r>
      <w:proofErr w:type="spellEnd"/>
      <w:r w:rsidR="005E6C82" w:rsidRPr="003A45F7">
        <w:rPr>
          <w:rFonts w:ascii="Verdana" w:hAnsi="Verdana"/>
        </w:rPr>
        <w:t xml:space="preserve"> a</w:t>
      </w:r>
      <w:r w:rsidR="005E6C82">
        <w:rPr>
          <w:rFonts w:ascii="Verdana" w:hAnsi="Verdana"/>
        </w:rPr>
        <w:t>b</w:t>
      </w:r>
      <w:r>
        <w:rPr>
          <w:rFonts w:ascii="Verdana" w:hAnsi="Verdana"/>
        </w:rPr>
        <w:t>:</w:t>
      </w:r>
    </w:p>
    <w:p w:rsidR="00CB5455" w:rsidRDefault="00CB5455" w:rsidP="00CB5455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>•</w:t>
      </w:r>
      <w:r w:rsidR="00510A69">
        <w:rPr>
          <w:rFonts w:ascii="Verdana" w:hAnsi="Verdana"/>
        </w:rPr>
        <w:t xml:space="preserve"> i</w:t>
      </w:r>
      <w:r>
        <w:rPr>
          <w:rFonts w:ascii="Verdana" w:hAnsi="Verdana"/>
        </w:rPr>
        <w:t>st der Produktmarkt geräumt (</w:t>
      </w:r>
      <w:r w:rsidRPr="00C47573">
        <w:rPr>
          <w:rFonts w:ascii="Verdana" w:hAnsi="Verdana"/>
        </w:rPr>
        <w:t>Verkaufsquotient = 1</w:t>
      </w:r>
      <w:r>
        <w:rPr>
          <w:rFonts w:ascii="Verdana" w:hAnsi="Verdana"/>
        </w:rPr>
        <w:t xml:space="preserve">) und </w:t>
      </w:r>
      <w:r w:rsidRPr="00C47573">
        <w:rPr>
          <w:rFonts w:ascii="Verdana" w:hAnsi="Verdana"/>
        </w:rPr>
        <w:t>der Haus</w:t>
      </w:r>
      <w:r>
        <w:rPr>
          <w:rFonts w:ascii="Verdana" w:hAnsi="Verdana"/>
        </w:rPr>
        <w:softHyphen/>
      </w:r>
      <w:r w:rsidRPr="00C47573">
        <w:rPr>
          <w:rFonts w:ascii="Verdana" w:hAnsi="Verdana"/>
        </w:rPr>
        <w:t>halt des</w:t>
      </w:r>
      <w:r>
        <w:rPr>
          <w:rFonts w:ascii="Verdana" w:hAnsi="Verdana"/>
        </w:rPr>
        <w:t xml:space="preserve"> Privatsektors ausgeglichen (Konsum</w:t>
      </w:r>
      <w:r w:rsidRPr="00C47573">
        <w:rPr>
          <w:rFonts w:ascii="Verdana" w:hAnsi="Verdana"/>
        </w:rPr>
        <w:t>quotient = 1</w:t>
      </w:r>
      <w:r>
        <w:rPr>
          <w:rFonts w:ascii="Verdana" w:hAnsi="Verdana"/>
        </w:rPr>
        <w:t>)</w:t>
      </w:r>
      <w:r w:rsidR="00D40CD8">
        <w:rPr>
          <w:rFonts w:ascii="Verdana" w:hAnsi="Verdana"/>
        </w:rPr>
        <w:t xml:space="preserve"> </w:t>
      </w:r>
      <w:r w:rsidR="00D40CD8" w:rsidRPr="00C47573">
        <w:rPr>
          <w:rFonts w:ascii="Verdana" w:hAnsi="Verdana"/>
        </w:rPr>
        <w:t>—</w:t>
      </w:r>
      <w:r w:rsidR="00D40CD8">
        <w:rPr>
          <w:rFonts w:ascii="Verdana" w:hAnsi="Verdana"/>
        </w:rPr>
        <w:t xml:space="preserve"> </w:t>
      </w:r>
      <w:r w:rsidR="00327BD2">
        <w:rPr>
          <w:rFonts w:ascii="Verdana" w:hAnsi="Verdana"/>
        </w:rPr>
        <w:t>(</w:t>
      </w:r>
      <w:r w:rsidR="00453674">
        <w:rPr>
          <w:rFonts w:ascii="Verdana" w:hAnsi="Verdana"/>
        </w:rPr>
        <w:t xml:space="preserve">beides wird </w:t>
      </w:r>
      <w:r w:rsidR="00D40CD8">
        <w:rPr>
          <w:rFonts w:ascii="Verdana" w:hAnsi="Verdana"/>
        </w:rPr>
        <w:t>nie ge</w:t>
      </w:r>
      <w:r w:rsidR="00653174">
        <w:rPr>
          <w:rFonts w:ascii="Verdana" w:hAnsi="Verdana"/>
        </w:rPr>
        <w:softHyphen/>
      </w:r>
      <w:r w:rsidR="00D40CD8">
        <w:rPr>
          <w:rFonts w:ascii="Verdana" w:hAnsi="Verdana"/>
        </w:rPr>
        <w:t>nau getroffen</w:t>
      </w:r>
      <w:r w:rsidR="003D3650">
        <w:rPr>
          <w:rFonts w:ascii="Verdana" w:hAnsi="Verdana"/>
        </w:rPr>
        <w:t>!</w:t>
      </w:r>
      <w:r w:rsidR="00327BD2">
        <w:rPr>
          <w:rFonts w:ascii="Verdana" w:hAnsi="Verdana"/>
        </w:rPr>
        <w:t>)</w:t>
      </w:r>
      <w:r w:rsidR="00453674">
        <w:rPr>
          <w:rFonts w:ascii="Verdana" w:hAnsi="Verdana"/>
        </w:rPr>
        <w:t xml:space="preserve"> </w:t>
      </w:r>
      <w:r w:rsidR="00D40CD8" w:rsidRPr="00C47573">
        <w:rPr>
          <w:rFonts w:ascii="Verdana" w:hAnsi="Verdana"/>
        </w:rPr>
        <w:t>—</w:t>
      </w:r>
      <w:r w:rsidR="00C12597">
        <w:rPr>
          <w:rFonts w:ascii="Verdana" w:hAnsi="Verdana"/>
        </w:rPr>
        <w:t xml:space="preserve"> dann </w:t>
      </w:r>
      <w:r w:rsidR="00653174">
        <w:rPr>
          <w:rFonts w:ascii="Verdana" w:hAnsi="Verdana"/>
        </w:rPr>
        <w:t>wird</w:t>
      </w:r>
      <w:r w:rsidR="00C1259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der </w:t>
      </w:r>
      <w:r w:rsidRPr="00C12597">
        <w:rPr>
          <w:rFonts w:ascii="Verdana" w:hAnsi="Verdana"/>
          <w:b/>
        </w:rPr>
        <w:t>P</w:t>
      </w:r>
      <w:r w:rsidR="006C116B">
        <w:rPr>
          <w:rFonts w:ascii="Verdana" w:hAnsi="Verdana"/>
          <w:b/>
        </w:rPr>
        <w:t>roduktp</w:t>
      </w:r>
      <w:r w:rsidRPr="00C12597">
        <w:rPr>
          <w:rFonts w:ascii="Verdana" w:hAnsi="Verdana"/>
          <w:b/>
        </w:rPr>
        <w:t>reis</w:t>
      </w:r>
      <w:r w:rsidR="00323A4E">
        <w:rPr>
          <w:rFonts w:ascii="Verdana" w:hAnsi="Verdana"/>
        </w:rPr>
        <w:t xml:space="preserve">, </w:t>
      </w:r>
      <w:r w:rsidRPr="00C47573">
        <w:rPr>
          <w:rFonts w:ascii="Verdana" w:hAnsi="Verdana"/>
        </w:rPr>
        <w:t>als ab</w:t>
      </w:r>
      <w:r w:rsidR="00D40CD8">
        <w:rPr>
          <w:rFonts w:ascii="Verdana" w:hAnsi="Verdana"/>
        </w:rPr>
        <w:softHyphen/>
      </w:r>
      <w:r w:rsidRPr="00C47573">
        <w:rPr>
          <w:rFonts w:ascii="Verdana" w:hAnsi="Verdana"/>
        </w:rPr>
        <w:t>hän</w:t>
      </w:r>
      <w:r w:rsidR="00D40CD8">
        <w:rPr>
          <w:rFonts w:ascii="Verdana" w:hAnsi="Verdana"/>
        </w:rPr>
        <w:softHyphen/>
      </w:r>
      <w:r w:rsidR="00D40CD8">
        <w:rPr>
          <w:rFonts w:ascii="Verdana" w:hAnsi="Verdana"/>
        </w:rPr>
        <w:softHyphen/>
      </w:r>
      <w:r w:rsidRPr="00C47573">
        <w:rPr>
          <w:rFonts w:ascii="Verdana" w:hAnsi="Verdana"/>
        </w:rPr>
        <w:t>gige Vari</w:t>
      </w:r>
      <w:r w:rsidR="00653174">
        <w:rPr>
          <w:rFonts w:ascii="Verdana" w:hAnsi="Verdana"/>
        </w:rPr>
        <w:softHyphen/>
      </w:r>
      <w:r w:rsidRPr="00C47573">
        <w:rPr>
          <w:rFonts w:ascii="Verdana" w:hAnsi="Verdana"/>
        </w:rPr>
        <w:t>ab</w:t>
      </w:r>
      <w:r w:rsidR="00653174">
        <w:rPr>
          <w:rFonts w:ascii="Verdana" w:hAnsi="Verdana"/>
        </w:rPr>
        <w:softHyphen/>
      </w:r>
      <w:r w:rsidRPr="00C47573">
        <w:rPr>
          <w:rFonts w:ascii="Verdana" w:hAnsi="Verdana"/>
        </w:rPr>
        <w:t xml:space="preserve">le </w:t>
      </w:r>
      <w:r w:rsidR="00653174">
        <w:rPr>
          <w:rFonts w:ascii="Verdana" w:hAnsi="Verdana"/>
        </w:rPr>
        <w:t>ge</w:t>
      </w:r>
      <w:r w:rsidR="00653174">
        <w:rPr>
          <w:rFonts w:ascii="Verdana" w:hAnsi="Verdana"/>
        </w:rPr>
        <w:softHyphen/>
        <w:t>sehen</w:t>
      </w:r>
      <w:r w:rsidR="00323A4E">
        <w:rPr>
          <w:rFonts w:ascii="Verdana" w:hAnsi="Verdana"/>
        </w:rPr>
        <w:t>,</w:t>
      </w:r>
      <w:r w:rsidR="00653174">
        <w:rPr>
          <w:rFonts w:ascii="Verdana" w:hAnsi="Verdana"/>
        </w:rPr>
        <w:t xml:space="preserve"> </w:t>
      </w:r>
      <w:r w:rsidRPr="00C47573">
        <w:rPr>
          <w:rStyle w:val="gelb"/>
          <w:rFonts w:ascii="Verdana" w:hAnsi="Verdana"/>
        </w:rPr>
        <w:t>gleich den Stück</w:t>
      </w:r>
      <w:r w:rsidR="00C12597">
        <w:rPr>
          <w:rStyle w:val="gelb"/>
          <w:rFonts w:ascii="Verdana" w:hAnsi="Verdana"/>
        </w:rPr>
        <w:softHyphen/>
      </w:r>
      <w:r>
        <w:rPr>
          <w:rStyle w:val="gelb"/>
          <w:rFonts w:ascii="Verdana" w:hAnsi="Verdana"/>
        </w:rPr>
        <w:softHyphen/>
      </w:r>
      <w:r w:rsidRPr="00C47573">
        <w:rPr>
          <w:rStyle w:val="gelb"/>
          <w:rFonts w:ascii="Verdana" w:hAnsi="Verdana"/>
        </w:rPr>
        <w:t>lohn</w:t>
      </w:r>
      <w:r w:rsidRPr="00C47573">
        <w:rPr>
          <w:rStyle w:val="gelb"/>
          <w:rFonts w:ascii="Verdana" w:hAnsi="Verdana"/>
        </w:rPr>
        <w:softHyphen/>
        <w:t>kos</w:t>
      </w:r>
      <w:r w:rsidR="00C12597">
        <w:rPr>
          <w:rStyle w:val="gelb"/>
          <w:rFonts w:ascii="Verdana" w:hAnsi="Verdana"/>
        </w:rPr>
        <w:softHyphen/>
      </w:r>
      <w:r w:rsidRPr="00C47573">
        <w:rPr>
          <w:rStyle w:val="gelb"/>
          <w:rFonts w:ascii="Verdana" w:hAnsi="Verdana"/>
        </w:rPr>
        <w:t>ten</w:t>
      </w:r>
      <w:r w:rsidR="006C116B">
        <w:rPr>
          <w:rStyle w:val="gelb"/>
          <w:rFonts w:ascii="Verdana" w:hAnsi="Verdana"/>
        </w:rPr>
        <w:t>, also</w:t>
      </w:r>
      <w:r w:rsidR="004C3F3E">
        <w:rPr>
          <w:rStyle w:val="gelb"/>
          <w:rFonts w:ascii="Verdana" w:hAnsi="Verdana"/>
        </w:rPr>
        <w:t xml:space="preserve"> </w:t>
      </w:r>
      <w:r w:rsidR="00D40CD8">
        <w:rPr>
          <w:rStyle w:val="gelb"/>
          <w:rFonts w:ascii="Verdana" w:hAnsi="Verdana"/>
        </w:rPr>
        <w:t>S</w:t>
      </w:r>
      <w:r w:rsidR="004C3F3E">
        <w:rPr>
          <w:rStyle w:val="gelb"/>
          <w:rFonts w:ascii="Verdana" w:hAnsi="Verdana"/>
        </w:rPr>
        <w:t>tundenlohn/Pro</w:t>
      </w:r>
      <w:r w:rsidR="00D40CD8">
        <w:rPr>
          <w:rStyle w:val="gelb"/>
          <w:rFonts w:ascii="Verdana" w:hAnsi="Verdana"/>
        </w:rPr>
        <w:softHyphen/>
      </w:r>
      <w:r w:rsidR="004C3F3E">
        <w:rPr>
          <w:rStyle w:val="gelb"/>
          <w:rFonts w:ascii="Verdana" w:hAnsi="Verdana"/>
        </w:rPr>
        <w:t>duk</w:t>
      </w:r>
      <w:r w:rsidR="00D40CD8">
        <w:rPr>
          <w:rStyle w:val="gelb"/>
          <w:rFonts w:ascii="Verdana" w:hAnsi="Verdana"/>
        </w:rPr>
        <w:softHyphen/>
      </w:r>
      <w:r w:rsidR="004C3F3E">
        <w:rPr>
          <w:rStyle w:val="gelb"/>
          <w:rFonts w:ascii="Verdana" w:hAnsi="Verdana"/>
        </w:rPr>
        <w:t>ti</w:t>
      </w:r>
      <w:r w:rsidR="00D40CD8">
        <w:rPr>
          <w:rStyle w:val="gelb"/>
          <w:rFonts w:ascii="Verdana" w:hAnsi="Verdana"/>
        </w:rPr>
        <w:softHyphen/>
      </w:r>
      <w:r w:rsidR="004C3F3E">
        <w:rPr>
          <w:rStyle w:val="gelb"/>
          <w:rFonts w:ascii="Verdana" w:hAnsi="Verdana"/>
        </w:rPr>
        <w:t>vität</w:t>
      </w:r>
    </w:p>
    <w:p w:rsidR="00C47573" w:rsidRDefault="006A2769" w:rsidP="00C47573">
      <w:pPr>
        <w:ind w:left="198" w:hanging="198"/>
        <w:rPr>
          <w:rFonts w:ascii="Verdana" w:hAnsi="Verdana"/>
        </w:rPr>
      </w:pPr>
      <w:r>
        <w:rPr>
          <w:rFonts w:ascii="Verdana" w:hAnsi="Verdana"/>
        </w:rPr>
        <w:t>• der Produktm</w:t>
      </w:r>
      <w:r w:rsidR="00C47573" w:rsidRPr="00C47573">
        <w:rPr>
          <w:rFonts w:ascii="Verdana" w:hAnsi="Verdana"/>
        </w:rPr>
        <w:t>arktpreis wird so</w:t>
      </w:r>
      <w:r w:rsidR="00B10D59">
        <w:rPr>
          <w:rFonts w:ascii="Verdana" w:hAnsi="Verdana"/>
        </w:rPr>
        <w:t xml:space="preserve"> </w:t>
      </w:r>
      <w:r w:rsidR="00C47573" w:rsidRPr="00C47573">
        <w:rPr>
          <w:rFonts w:ascii="Verdana" w:hAnsi="Verdana"/>
        </w:rPr>
        <w:t xml:space="preserve">direkt </w:t>
      </w:r>
      <w:r>
        <w:rPr>
          <w:rFonts w:ascii="Verdana" w:hAnsi="Verdana"/>
        </w:rPr>
        <w:t xml:space="preserve">positiv </w:t>
      </w:r>
      <w:r w:rsidR="00C47573" w:rsidRPr="00C47573">
        <w:rPr>
          <w:rFonts w:ascii="Verdana" w:hAnsi="Verdana"/>
        </w:rPr>
        <w:t xml:space="preserve">bestimmt vom Stundenlohn und </w:t>
      </w:r>
      <w:r w:rsidR="00CB5455">
        <w:rPr>
          <w:rFonts w:ascii="Verdana" w:hAnsi="Verdana"/>
        </w:rPr>
        <w:t>negativ</w:t>
      </w:r>
      <w:r w:rsidR="00C47573" w:rsidRPr="00C47573">
        <w:rPr>
          <w:rFonts w:ascii="Verdana" w:hAnsi="Verdana"/>
        </w:rPr>
        <w:t xml:space="preserve"> be</w:t>
      </w:r>
      <w:r w:rsidR="00B10D59">
        <w:rPr>
          <w:rFonts w:ascii="Verdana" w:hAnsi="Verdana"/>
        </w:rPr>
        <w:softHyphen/>
      </w:r>
      <w:r w:rsidR="00C47573">
        <w:rPr>
          <w:rFonts w:ascii="Verdana" w:hAnsi="Verdana"/>
        </w:rPr>
        <w:t>einflusst von der Produktivität</w:t>
      </w:r>
    </w:p>
    <w:p w:rsidR="00C47573" w:rsidRPr="00EE32E6" w:rsidRDefault="00C47573" w:rsidP="00C47573">
      <w:pPr>
        <w:ind w:left="198" w:hanging="198"/>
        <w:rPr>
          <w:rFonts w:ascii="Verdana" w:hAnsi="Verdana"/>
          <w:vertAlign w:val="superscript"/>
        </w:rPr>
      </w:pPr>
      <w:r w:rsidRPr="00C47573">
        <w:rPr>
          <w:rFonts w:ascii="Verdana" w:hAnsi="Verdana"/>
        </w:rPr>
        <w:t xml:space="preserve">• der </w:t>
      </w:r>
      <w:r w:rsidRPr="00CB5455">
        <w:rPr>
          <w:rStyle w:val="gelb"/>
          <w:rFonts w:ascii="Verdana" w:hAnsi="Verdana"/>
          <w:b/>
        </w:rPr>
        <w:t>Reallohn</w:t>
      </w:r>
      <w:r w:rsidRPr="00C47573">
        <w:rPr>
          <w:rStyle w:val="gelb"/>
          <w:rFonts w:ascii="Verdana" w:hAnsi="Verdana"/>
        </w:rPr>
        <w:t xml:space="preserve"> </w:t>
      </w:r>
      <w:r w:rsidR="005C1AFA">
        <w:rPr>
          <w:rStyle w:val="gelb"/>
          <w:rFonts w:ascii="Verdana" w:hAnsi="Verdana"/>
        </w:rPr>
        <w:t>variier</w:t>
      </w:r>
      <w:r w:rsidR="00BA52A2">
        <w:rPr>
          <w:rStyle w:val="gelb"/>
          <w:rFonts w:ascii="Verdana" w:hAnsi="Verdana"/>
        </w:rPr>
        <w:t>t</w:t>
      </w:r>
      <w:r w:rsidR="00BA52A2" w:rsidRPr="00C47573">
        <w:rPr>
          <w:rFonts w:ascii="Verdana" w:hAnsi="Verdana"/>
        </w:rPr>
        <w:t xml:space="preserve"> </w:t>
      </w:r>
      <w:r w:rsidR="004E3EF9">
        <w:rPr>
          <w:rStyle w:val="gelb"/>
          <w:rFonts w:ascii="Verdana" w:hAnsi="Verdana"/>
        </w:rPr>
        <w:t xml:space="preserve">mit </w:t>
      </w:r>
      <w:r w:rsidRPr="00C47573">
        <w:rPr>
          <w:rStyle w:val="gelb"/>
          <w:rFonts w:ascii="Verdana" w:hAnsi="Verdana"/>
        </w:rPr>
        <w:t>der Produktivität</w:t>
      </w:r>
      <w:r w:rsidR="00BA52A2">
        <w:rPr>
          <w:rFonts w:ascii="Verdana" w:hAnsi="Verdana"/>
        </w:rPr>
        <w:t xml:space="preserve"> und</w:t>
      </w:r>
      <w:r w:rsidR="00CB5455">
        <w:rPr>
          <w:rFonts w:ascii="Verdana" w:hAnsi="Verdana"/>
        </w:rPr>
        <w:t xml:space="preserve"> </w:t>
      </w:r>
      <w:r w:rsidR="00BA52A2">
        <w:rPr>
          <w:rFonts w:ascii="Verdana" w:hAnsi="Verdana"/>
        </w:rPr>
        <w:t xml:space="preserve">wird </w:t>
      </w:r>
      <w:r w:rsidRPr="00C47573">
        <w:rPr>
          <w:rStyle w:val="gelb"/>
          <w:rFonts w:ascii="Verdana" w:hAnsi="Verdana"/>
          <w:b/>
          <w:bCs/>
        </w:rPr>
        <w:t>nicht</w:t>
      </w:r>
      <w:r w:rsidRPr="00C47573">
        <w:rPr>
          <w:rStyle w:val="gelb"/>
          <w:rFonts w:ascii="Verdana" w:hAnsi="Verdana"/>
        </w:rPr>
        <w:t xml:space="preserve"> be</w:t>
      </w:r>
      <w:r w:rsidR="00BA52A2">
        <w:rPr>
          <w:rStyle w:val="gelb"/>
          <w:rFonts w:ascii="Verdana" w:hAnsi="Verdana"/>
        </w:rPr>
        <w:softHyphen/>
      </w:r>
      <w:r w:rsidRPr="00C47573">
        <w:rPr>
          <w:rStyle w:val="gelb"/>
          <w:rFonts w:ascii="Verdana" w:hAnsi="Verdana"/>
        </w:rPr>
        <w:t>stimmt</w:t>
      </w:r>
      <w:r w:rsidRPr="00C47573">
        <w:rPr>
          <w:rFonts w:ascii="Verdana" w:hAnsi="Verdana"/>
        </w:rPr>
        <w:t xml:space="preserve"> durch ein Angebots-Nachfrage-Gleich</w:t>
      </w:r>
      <w:r w:rsidR="00EE32E6">
        <w:rPr>
          <w:rFonts w:ascii="Verdana" w:hAnsi="Verdana"/>
        </w:rPr>
        <w:softHyphen/>
      </w:r>
      <w:r w:rsidRPr="00C47573">
        <w:rPr>
          <w:rFonts w:ascii="Verdana" w:hAnsi="Verdana"/>
        </w:rPr>
        <w:t xml:space="preserve">gewicht </w:t>
      </w:r>
      <w:r w:rsidRPr="00C47573">
        <w:rPr>
          <w:rStyle w:val="gelb"/>
          <w:rFonts w:ascii="Verdana" w:hAnsi="Verdana"/>
        </w:rPr>
        <w:t>auf dem Arbeits</w:t>
      </w:r>
      <w:r w:rsidRPr="00C47573">
        <w:rPr>
          <w:rStyle w:val="gelb"/>
          <w:rFonts w:ascii="Verdana" w:hAnsi="Verdana"/>
        </w:rPr>
        <w:softHyphen/>
        <w:t>markt</w:t>
      </w:r>
      <w:r w:rsidRPr="00510A69">
        <w:rPr>
          <w:rFonts w:ascii="Verdana" w:hAnsi="Verdana"/>
          <w:b/>
          <w:color w:val="FF0000"/>
        </w:rPr>
        <w:t>!</w:t>
      </w:r>
      <w:r w:rsidR="00EE32E6">
        <w:rPr>
          <w:rStyle w:val="Funotenzeichen"/>
          <w:rFonts w:ascii="Verdana" w:hAnsi="Verdana"/>
        </w:rPr>
        <w:footnoteReference w:id="1"/>
      </w:r>
    </w:p>
    <w:p w:rsidR="00C47573" w:rsidRDefault="00C47573" w:rsidP="00C47573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anders verhält es sich mit dem </w:t>
      </w:r>
      <w:r w:rsidRPr="006A2769">
        <w:rPr>
          <w:rFonts w:ascii="Verdana" w:hAnsi="Verdana"/>
          <w:b/>
        </w:rPr>
        <w:t>Nominallohn</w:t>
      </w:r>
      <w:r w:rsidRPr="00C47573">
        <w:rPr>
          <w:rFonts w:ascii="Verdana" w:hAnsi="Verdana"/>
        </w:rPr>
        <w:t xml:space="preserve">: der </w:t>
      </w:r>
      <w:r w:rsidR="00C12597">
        <w:rPr>
          <w:rFonts w:ascii="Verdana" w:hAnsi="Verdana"/>
        </w:rPr>
        <w:t xml:space="preserve">geldliche </w:t>
      </w:r>
      <w:r w:rsidRPr="00C47573">
        <w:rPr>
          <w:rFonts w:ascii="Verdana" w:hAnsi="Verdana"/>
        </w:rPr>
        <w:t>Stunden</w:t>
      </w:r>
      <w:r w:rsidR="006A2769">
        <w:rPr>
          <w:rFonts w:ascii="Verdana" w:hAnsi="Verdana"/>
        </w:rPr>
        <w:softHyphen/>
      </w:r>
      <w:r w:rsidRPr="00C47573">
        <w:rPr>
          <w:rFonts w:ascii="Verdana" w:hAnsi="Verdana"/>
        </w:rPr>
        <w:t xml:space="preserve">lohn </w:t>
      </w:r>
      <w:r w:rsidR="006A2769">
        <w:rPr>
          <w:rFonts w:ascii="Verdana" w:hAnsi="Verdana"/>
        </w:rPr>
        <w:t>kann</w:t>
      </w:r>
      <w:r w:rsidRPr="00C47573">
        <w:rPr>
          <w:rFonts w:ascii="Verdana" w:hAnsi="Verdana"/>
        </w:rPr>
        <w:t xml:space="preserve"> hoch oder runter gehen</w:t>
      </w:r>
      <w:r w:rsidR="0011328C">
        <w:rPr>
          <w:rFonts w:ascii="Verdana" w:hAnsi="Verdana"/>
        </w:rPr>
        <w:t>,</w:t>
      </w:r>
      <w:r w:rsidRPr="00C47573">
        <w:rPr>
          <w:rFonts w:ascii="Verdana" w:hAnsi="Verdana"/>
        </w:rPr>
        <w:t xml:space="preserve"> </w:t>
      </w:r>
      <w:r w:rsidRPr="00C47573">
        <w:rPr>
          <w:rStyle w:val="gelb"/>
          <w:rFonts w:ascii="Verdana" w:hAnsi="Verdana"/>
        </w:rPr>
        <w:t xml:space="preserve">ohne </w:t>
      </w:r>
      <w:r w:rsidR="00ED643B">
        <w:rPr>
          <w:rStyle w:val="gelb"/>
          <w:rFonts w:ascii="Verdana" w:hAnsi="Verdana"/>
        </w:rPr>
        <w:t>die geringste</w:t>
      </w:r>
      <w:r w:rsidRPr="00C47573">
        <w:rPr>
          <w:rStyle w:val="gelb"/>
          <w:rFonts w:ascii="Verdana" w:hAnsi="Verdana"/>
        </w:rPr>
        <w:t xml:space="preserve"> Wirkung auf den Real</w:t>
      </w:r>
      <w:r w:rsidR="006A2769">
        <w:rPr>
          <w:rStyle w:val="gelb"/>
          <w:rFonts w:ascii="Verdana" w:hAnsi="Verdana"/>
        </w:rPr>
        <w:softHyphen/>
      </w:r>
      <w:r w:rsidRPr="00C47573">
        <w:rPr>
          <w:rStyle w:val="gelb"/>
          <w:rFonts w:ascii="Verdana" w:hAnsi="Verdana"/>
        </w:rPr>
        <w:t>lohn</w:t>
      </w:r>
      <w:r w:rsidRPr="00C47573">
        <w:rPr>
          <w:rFonts w:ascii="Verdana" w:hAnsi="Verdana"/>
        </w:rPr>
        <w:t xml:space="preserve"> </w:t>
      </w:r>
      <w:r w:rsidR="0011328C">
        <w:rPr>
          <w:rFonts w:ascii="Verdana" w:hAnsi="Verdana"/>
        </w:rPr>
        <w:t xml:space="preserve">zu haben </w:t>
      </w:r>
      <w:r w:rsidRPr="00C47573">
        <w:rPr>
          <w:rFonts w:ascii="Verdana" w:hAnsi="Verdana"/>
        </w:rPr>
        <w:t>— wegen d</w:t>
      </w:r>
      <w:r>
        <w:rPr>
          <w:rFonts w:ascii="Verdana" w:hAnsi="Verdana"/>
        </w:rPr>
        <w:t xml:space="preserve">er bedingten </w:t>
      </w:r>
      <w:proofErr w:type="spellStart"/>
      <w:r>
        <w:rPr>
          <w:rFonts w:ascii="Verdana" w:hAnsi="Verdana"/>
        </w:rPr>
        <w:t>Preis</w:t>
      </w:r>
      <w:r>
        <w:rPr>
          <w:rFonts w:ascii="Verdana" w:hAnsi="Verdana"/>
        </w:rPr>
        <w:softHyphen/>
        <w:t>flexibilität</w:t>
      </w:r>
      <w:proofErr w:type="spellEnd"/>
    </w:p>
    <w:p w:rsidR="00C47573" w:rsidRDefault="00C47573" w:rsidP="00C47573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da nun der Produktpreis durch ‚Angebot und Nachfrage’ auf dem </w:t>
      </w:r>
      <w:proofErr w:type="spellStart"/>
      <w:r w:rsidRPr="00C47573">
        <w:rPr>
          <w:rFonts w:ascii="Verdana" w:hAnsi="Verdana"/>
        </w:rPr>
        <w:t>Pro</w:t>
      </w:r>
      <w:r w:rsidR="00C12597">
        <w:rPr>
          <w:rFonts w:ascii="Verdana" w:hAnsi="Verdana"/>
        </w:rPr>
        <w:softHyphen/>
      </w:r>
      <w:r w:rsidRPr="00C47573">
        <w:rPr>
          <w:rFonts w:ascii="Verdana" w:hAnsi="Verdana"/>
        </w:rPr>
        <w:t>dukt</w:t>
      </w:r>
      <w:r w:rsidR="007D52F1">
        <w:rPr>
          <w:rFonts w:ascii="Verdana" w:hAnsi="Verdana"/>
        </w:rPr>
        <w:softHyphen/>
      </w:r>
      <w:r w:rsidRPr="00C47573">
        <w:rPr>
          <w:rFonts w:ascii="Verdana" w:hAnsi="Verdana"/>
        </w:rPr>
        <w:softHyphen/>
      </w:r>
      <w:r w:rsidR="00C12597">
        <w:rPr>
          <w:rFonts w:ascii="Verdana" w:hAnsi="Verdana"/>
        </w:rPr>
        <w:softHyphen/>
      </w:r>
      <w:r w:rsidR="006A2769">
        <w:rPr>
          <w:rFonts w:ascii="Verdana" w:hAnsi="Verdana"/>
        </w:rPr>
        <w:softHyphen/>
      </w:r>
      <w:r w:rsidRPr="00C47573">
        <w:rPr>
          <w:rFonts w:ascii="Verdana" w:hAnsi="Verdana"/>
        </w:rPr>
        <w:t>markt</w:t>
      </w:r>
      <w:proofErr w:type="spellEnd"/>
      <w:r w:rsidRPr="00C47573">
        <w:rPr>
          <w:rFonts w:ascii="Verdana" w:hAnsi="Verdana"/>
        </w:rPr>
        <w:t xml:space="preserve"> </w:t>
      </w:r>
      <w:r w:rsidR="006A2769">
        <w:rPr>
          <w:rFonts w:ascii="Verdana" w:hAnsi="Verdana"/>
        </w:rPr>
        <w:t xml:space="preserve">schon </w:t>
      </w:r>
      <w:r w:rsidRPr="00C47573">
        <w:rPr>
          <w:rFonts w:ascii="Verdana" w:hAnsi="Verdana"/>
        </w:rPr>
        <w:t xml:space="preserve">festgelegt ist, kann der Reallohn nicht </w:t>
      </w:r>
      <w:r w:rsidR="00C12597">
        <w:rPr>
          <w:rFonts w:ascii="Verdana" w:hAnsi="Verdana"/>
        </w:rPr>
        <w:t xml:space="preserve">auch noch </w:t>
      </w:r>
      <w:r w:rsidRPr="00C47573">
        <w:rPr>
          <w:rFonts w:ascii="Verdana" w:hAnsi="Verdana"/>
        </w:rPr>
        <w:t>durch ‚An</w:t>
      </w:r>
      <w:r w:rsidR="00C12597">
        <w:rPr>
          <w:rFonts w:ascii="Verdana" w:hAnsi="Verdana"/>
        </w:rPr>
        <w:softHyphen/>
      </w:r>
      <w:r w:rsidRPr="00C47573">
        <w:rPr>
          <w:rFonts w:ascii="Verdana" w:hAnsi="Verdana"/>
        </w:rPr>
        <w:t>ge</w:t>
      </w:r>
      <w:r w:rsidR="00C12597">
        <w:rPr>
          <w:rFonts w:ascii="Verdana" w:hAnsi="Verdana"/>
        </w:rPr>
        <w:softHyphen/>
      </w:r>
      <w:r w:rsidRPr="00C47573">
        <w:rPr>
          <w:rFonts w:ascii="Verdana" w:hAnsi="Verdana"/>
        </w:rPr>
        <w:t>bot und Nachfrage’ auf dem Arbeits</w:t>
      </w:r>
      <w:r w:rsidRPr="00C47573">
        <w:rPr>
          <w:rFonts w:ascii="Verdana" w:hAnsi="Verdana"/>
        </w:rPr>
        <w:softHyphen/>
        <w:t>markt bestimmt sein</w:t>
      </w:r>
    </w:p>
    <w:p w:rsidR="00794026" w:rsidRPr="00A0236A" w:rsidRDefault="00794026" w:rsidP="00794026">
      <w:pPr>
        <w:ind w:left="198" w:hanging="198"/>
        <w:rPr>
          <w:rFonts w:ascii="Verdana" w:hAnsi="Verdana"/>
          <w:sz w:val="18"/>
          <w:szCs w:val="18"/>
        </w:rPr>
      </w:pPr>
      <w:r w:rsidRPr="00C47573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="00935AD0">
        <w:rPr>
          <w:rFonts w:ascii="Verdana" w:hAnsi="Verdana"/>
        </w:rPr>
        <w:t xml:space="preserve">die zu erwartende Inflationsrate </w:t>
      </w:r>
      <w:r w:rsidR="004C220A">
        <w:rPr>
          <w:rFonts w:ascii="Verdana" w:hAnsi="Verdana"/>
        </w:rPr>
        <w:t xml:space="preserve">entspricht </w:t>
      </w:r>
      <w:r w:rsidR="00935AD0">
        <w:rPr>
          <w:rFonts w:ascii="Verdana" w:hAnsi="Verdana"/>
        </w:rPr>
        <w:t>genau dann der</w:t>
      </w:r>
      <w:r w:rsidR="00797778">
        <w:rPr>
          <w:rFonts w:ascii="Verdana" w:hAnsi="Verdana"/>
        </w:rPr>
        <w:t xml:space="preserve"> </w:t>
      </w:r>
      <w:r w:rsidR="00935AD0">
        <w:rPr>
          <w:rFonts w:ascii="Verdana" w:hAnsi="Verdana"/>
        </w:rPr>
        <w:t>vorgegebe</w:t>
      </w:r>
      <w:r w:rsidR="004C220A">
        <w:rPr>
          <w:rFonts w:ascii="Verdana" w:hAnsi="Verdana"/>
        </w:rPr>
        <w:softHyphen/>
      </w:r>
      <w:r w:rsidR="00935AD0">
        <w:rPr>
          <w:rFonts w:ascii="Verdana" w:hAnsi="Verdana"/>
        </w:rPr>
        <w:t xml:space="preserve">nen </w:t>
      </w:r>
      <w:proofErr w:type="spellStart"/>
      <w:r w:rsidR="00797778">
        <w:rPr>
          <w:rFonts w:ascii="Verdana" w:hAnsi="Verdana"/>
        </w:rPr>
        <w:t>Ziel</w:t>
      </w:r>
      <w:r w:rsidR="00935AD0">
        <w:rPr>
          <w:rFonts w:ascii="Verdana" w:hAnsi="Verdana"/>
        </w:rPr>
        <w:softHyphen/>
      </w:r>
      <w:r w:rsidR="00797778">
        <w:rPr>
          <w:rFonts w:ascii="Verdana" w:hAnsi="Verdana"/>
        </w:rPr>
        <w:t>inflationsrate</w:t>
      </w:r>
      <w:proofErr w:type="spellEnd"/>
      <w:r w:rsidR="00935AD0">
        <w:rPr>
          <w:rFonts w:ascii="Verdana" w:hAnsi="Verdana"/>
        </w:rPr>
        <w:t xml:space="preserve"> </w:t>
      </w:r>
      <w:r w:rsidR="00935AD0" w:rsidRPr="00EC0F39">
        <w:rPr>
          <w:rFonts w:ascii="Verdana" w:hAnsi="Verdana"/>
        </w:rPr>
        <w:t>P</w:t>
      </w:r>
      <w:r w:rsidR="00A512EE" w:rsidRPr="00EC0F39">
        <w:rPr>
          <w:rFonts w:ascii="Verdana" w:hAnsi="Verdana"/>
        </w:rPr>
        <w:t>’</w:t>
      </w:r>
      <w:r w:rsidR="00935AD0" w:rsidRPr="00EC0F39">
        <w:rPr>
          <w:rFonts w:ascii="Verdana" w:hAnsi="Verdana"/>
          <w:vertAlign w:val="subscript"/>
        </w:rPr>
        <w:t>T</w:t>
      </w:r>
      <w:r w:rsidR="00797778">
        <w:rPr>
          <w:rFonts w:ascii="Verdana" w:hAnsi="Verdana"/>
        </w:rPr>
        <w:t xml:space="preserve">, wenn </w:t>
      </w:r>
      <w:r w:rsidR="00D34777">
        <w:rPr>
          <w:rFonts w:ascii="Verdana" w:hAnsi="Verdana"/>
        </w:rPr>
        <w:t xml:space="preserve">der </w:t>
      </w:r>
      <w:r>
        <w:rPr>
          <w:rFonts w:ascii="Verdana" w:hAnsi="Verdana"/>
        </w:rPr>
        <w:t>Lohn jährlich um</w:t>
      </w:r>
      <w:r w:rsidR="00935AD0">
        <w:rPr>
          <w:rFonts w:ascii="Verdana" w:hAnsi="Verdana"/>
        </w:rPr>
        <w:t xml:space="preserve"> die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Lohn</w:t>
      </w:r>
      <w:r w:rsidR="001974BA">
        <w:rPr>
          <w:rFonts w:ascii="Verdana" w:hAnsi="Verdana"/>
          <w:b/>
        </w:rPr>
        <w:t>-N</w:t>
      </w:r>
      <w:r>
        <w:rPr>
          <w:rFonts w:ascii="Verdana" w:hAnsi="Verdana"/>
          <w:b/>
        </w:rPr>
        <w:t>orm</w:t>
      </w:r>
      <w:r>
        <w:rPr>
          <w:rFonts w:ascii="Verdana" w:hAnsi="Verdana"/>
        </w:rPr>
        <w:t xml:space="preserve"> </w:t>
      </w:r>
      <w:r w:rsidR="00935AD0">
        <w:rPr>
          <w:rFonts w:ascii="Verdana" w:hAnsi="Verdana"/>
        </w:rPr>
        <w:t>an</w:t>
      </w:r>
      <w:r w:rsidR="00EC0F39">
        <w:rPr>
          <w:rFonts w:ascii="Verdana" w:hAnsi="Verdana"/>
        </w:rPr>
        <w:softHyphen/>
      </w:r>
      <w:r w:rsidR="00935AD0">
        <w:rPr>
          <w:rFonts w:ascii="Verdana" w:hAnsi="Verdana"/>
        </w:rPr>
        <w:t xml:space="preserve">steigt </w:t>
      </w:r>
      <w:r w:rsidRPr="00A0236A">
        <w:rPr>
          <w:rFonts w:ascii="Verdana" w:hAnsi="Verdana"/>
        </w:rPr>
        <w:t>(</w:t>
      </w:r>
      <w:proofErr w:type="spellStart"/>
      <w:r w:rsidRPr="00EC0F39">
        <w:rPr>
          <w:rStyle w:val="form"/>
          <w:rFonts w:ascii="Verdana" w:hAnsi="Verdana"/>
          <w:bdr w:val="single" w:sz="4" w:space="0" w:color="auto"/>
        </w:rPr>
        <w:t>w</w:t>
      </w:r>
      <w:r w:rsidR="00A512EE" w:rsidRPr="00EC0F39">
        <w:rPr>
          <w:rStyle w:val="form"/>
          <w:rFonts w:ascii="Verdana" w:hAnsi="Verdana"/>
          <w:bdr w:val="single" w:sz="4" w:space="0" w:color="auto"/>
        </w:rPr>
        <w:t>’</w:t>
      </w:r>
      <w:r w:rsidRPr="00EC0F39">
        <w:rPr>
          <w:rStyle w:val="form"/>
          <w:rFonts w:ascii="Verdana" w:hAnsi="Verdana"/>
          <w:bdr w:val="single" w:sz="4" w:space="0" w:color="auto"/>
          <w:vertAlign w:val="subscript"/>
        </w:rPr>
        <w:t>N</w:t>
      </w:r>
      <w:proofErr w:type="spellEnd"/>
      <w:r w:rsidRPr="00EC0F39">
        <w:rPr>
          <w:rStyle w:val="form"/>
          <w:rFonts w:ascii="Verdana" w:hAnsi="Verdana"/>
          <w:bdr w:val="single" w:sz="4" w:space="0" w:color="auto"/>
        </w:rPr>
        <w:t xml:space="preserve"> = </w:t>
      </w:r>
      <w:proofErr w:type="spellStart"/>
      <w:r w:rsidRPr="00EC0F39">
        <w:rPr>
          <w:rStyle w:val="form"/>
          <w:rFonts w:ascii="Verdana" w:hAnsi="Verdana"/>
          <w:bdr w:val="single" w:sz="4" w:space="0" w:color="auto"/>
        </w:rPr>
        <w:t>π</w:t>
      </w:r>
      <w:r w:rsidR="00A512EE" w:rsidRPr="00EC0F39">
        <w:rPr>
          <w:rStyle w:val="form"/>
          <w:rFonts w:ascii="Verdana" w:hAnsi="Verdana"/>
          <w:bdr w:val="single" w:sz="4" w:space="0" w:color="auto"/>
        </w:rPr>
        <w:t>’</w:t>
      </w:r>
      <w:r w:rsidRPr="00EC0F39">
        <w:rPr>
          <w:rStyle w:val="form"/>
          <w:rFonts w:ascii="Verdana" w:hAnsi="Verdana"/>
          <w:bdr w:val="single" w:sz="4" w:space="0" w:color="auto"/>
          <w:vertAlign w:val="subscript"/>
        </w:rPr>
        <w:t>m</w:t>
      </w:r>
      <w:proofErr w:type="spellEnd"/>
      <w:r w:rsidRPr="00EC0F39">
        <w:rPr>
          <w:rStyle w:val="form"/>
          <w:rFonts w:ascii="Verdana" w:hAnsi="Verdana"/>
          <w:bdr w:val="single" w:sz="4" w:space="0" w:color="auto"/>
        </w:rPr>
        <w:t xml:space="preserve"> + P</w:t>
      </w:r>
      <w:r w:rsidR="00A512EE" w:rsidRPr="00EC0F39">
        <w:rPr>
          <w:rStyle w:val="form"/>
          <w:rFonts w:ascii="Verdana" w:hAnsi="Verdana"/>
          <w:bdr w:val="single" w:sz="4" w:space="0" w:color="auto"/>
        </w:rPr>
        <w:t>’</w:t>
      </w:r>
      <w:r w:rsidRPr="00EC0F39">
        <w:rPr>
          <w:rStyle w:val="form"/>
          <w:rFonts w:ascii="Verdana" w:hAnsi="Verdana"/>
          <w:bdr w:val="single" w:sz="4" w:space="0" w:color="auto"/>
          <w:vertAlign w:val="subscript"/>
        </w:rPr>
        <w:t>T</w:t>
      </w:r>
      <w:r w:rsidRPr="004C220A">
        <w:rPr>
          <w:rFonts w:ascii="Verdana" w:hAnsi="Verdana"/>
        </w:rPr>
        <w:t xml:space="preserve"> </w:t>
      </w:r>
      <w:r w:rsidRPr="00A0236A">
        <w:rPr>
          <w:rFonts w:ascii="Verdana" w:hAnsi="Verdana"/>
        </w:rPr>
        <w:t xml:space="preserve">mit </w:t>
      </w:r>
      <w:r w:rsidR="00935AD0">
        <w:rPr>
          <w:rFonts w:ascii="Verdana" w:hAnsi="Verdana"/>
        </w:rPr>
        <w:t>einem</w:t>
      </w:r>
      <w:r w:rsidRPr="00A0236A">
        <w:rPr>
          <w:rFonts w:ascii="Verdana" w:hAnsi="Verdana"/>
        </w:rPr>
        <w:t xml:space="preserve"> Produktivitätsanstieg </w:t>
      </w:r>
      <w:r w:rsidR="001974BA">
        <w:rPr>
          <w:rFonts w:ascii="Verdana" w:hAnsi="Verdana"/>
        </w:rPr>
        <w:t>auf</w:t>
      </w:r>
      <w:r>
        <w:rPr>
          <w:rFonts w:ascii="Verdana" w:hAnsi="Verdana"/>
        </w:rPr>
        <w:t xml:space="preserve"> </w:t>
      </w:r>
      <w:r w:rsidRPr="00A0236A">
        <w:rPr>
          <w:rFonts w:ascii="Verdana" w:hAnsi="Verdana"/>
        </w:rPr>
        <w:t>mit</w:t>
      </w:r>
      <w:r w:rsidR="001974BA">
        <w:rPr>
          <w:rFonts w:ascii="Verdana" w:hAnsi="Verdana"/>
        </w:rPr>
        <w:t>t</w:t>
      </w:r>
      <w:r w:rsidR="00797778">
        <w:rPr>
          <w:rFonts w:ascii="Verdana" w:hAnsi="Verdana"/>
        </w:rPr>
        <w:softHyphen/>
      </w:r>
      <w:r w:rsidRPr="00A0236A">
        <w:rPr>
          <w:rFonts w:ascii="Verdana" w:hAnsi="Verdana"/>
        </w:rPr>
        <w:t>lere Sicht</w:t>
      </w:r>
      <w:r w:rsidRPr="00A0236A">
        <w:rPr>
          <w:rFonts w:ascii="Verdana" w:hAnsi="Verdana"/>
          <w:sz w:val="18"/>
          <w:szCs w:val="18"/>
        </w:rPr>
        <w:t xml:space="preserve"> </w:t>
      </w:r>
      <w:proofErr w:type="spellStart"/>
      <w:r w:rsidRPr="00EC0F39">
        <w:rPr>
          <w:rFonts w:ascii="Verdana" w:hAnsi="Verdana"/>
        </w:rPr>
        <w:t>π</w:t>
      </w:r>
      <w:r w:rsidR="00A512EE" w:rsidRPr="00EC0F39">
        <w:rPr>
          <w:rFonts w:ascii="Verdana" w:hAnsi="Verdana"/>
        </w:rPr>
        <w:t>’</w:t>
      </w:r>
      <w:r w:rsidRPr="00EC0F39">
        <w:rPr>
          <w:rFonts w:ascii="Verdana" w:hAnsi="Verdana"/>
          <w:vertAlign w:val="subscript"/>
        </w:rPr>
        <w:t>m</w:t>
      </w:r>
      <w:proofErr w:type="spellEnd"/>
      <w:r w:rsidRPr="004C220A">
        <w:rPr>
          <w:rFonts w:ascii="Verdana" w:hAnsi="Verdana"/>
        </w:rPr>
        <w:t xml:space="preserve"> </w:t>
      </w:r>
      <w:r w:rsidRPr="00A0236A">
        <w:rPr>
          <w:rFonts w:ascii="Verdana" w:hAnsi="Verdana"/>
        </w:rPr>
        <w:t xml:space="preserve">und </w:t>
      </w:r>
      <w:r w:rsidR="00935AD0">
        <w:rPr>
          <w:rFonts w:ascii="Verdana" w:hAnsi="Verdana"/>
        </w:rPr>
        <w:t xml:space="preserve">dem </w:t>
      </w:r>
      <w:r w:rsidR="00220C4A">
        <w:rPr>
          <w:rFonts w:ascii="Verdana" w:hAnsi="Verdana"/>
        </w:rPr>
        <w:t>resultierend</w:t>
      </w:r>
      <w:r w:rsidR="00B71362">
        <w:rPr>
          <w:rFonts w:ascii="Verdana" w:hAnsi="Verdana"/>
        </w:rPr>
        <w:t>en</w:t>
      </w:r>
      <w:r w:rsidRPr="00A0236A">
        <w:rPr>
          <w:rFonts w:ascii="Verdana" w:hAnsi="Verdana"/>
        </w:rPr>
        <w:t xml:space="preserve"> </w:t>
      </w:r>
      <w:r w:rsidR="00C2635B">
        <w:rPr>
          <w:rFonts w:ascii="Verdana" w:hAnsi="Verdana"/>
        </w:rPr>
        <w:t xml:space="preserve">nominellen </w:t>
      </w:r>
      <w:r w:rsidRPr="00A0236A">
        <w:rPr>
          <w:rFonts w:ascii="Verdana" w:hAnsi="Verdana"/>
        </w:rPr>
        <w:t>Lohnanstieg</w:t>
      </w:r>
      <w:r w:rsidRPr="00A0236A">
        <w:rPr>
          <w:rFonts w:ascii="Verdana" w:hAnsi="Verdana"/>
          <w:sz w:val="18"/>
          <w:szCs w:val="18"/>
        </w:rPr>
        <w:t xml:space="preserve"> </w:t>
      </w:r>
      <w:proofErr w:type="spellStart"/>
      <w:r w:rsidRPr="00EC0F39">
        <w:rPr>
          <w:rFonts w:ascii="Verdana" w:hAnsi="Verdana"/>
        </w:rPr>
        <w:t>w</w:t>
      </w:r>
      <w:r w:rsidR="00A512EE" w:rsidRPr="00EC0F39">
        <w:rPr>
          <w:rFonts w:ascii="Verdana" w:hAnsi="Verdana"/>
        </w:rPr>
        <w:t>’</w:t>
      </w:r>
      <w:r w:rsidRPr="00EC0F39">
        <w:rPr>
          <w:rFonts w:ascii="Verdana" w:hAnsi="Verdana"/>
          <w:vertAlign w:val="subscript"/>
        </w:rPr>
        <w:t>N</w:t>
      </w:r>
      <w:proofErr w:type="spellEnd"/>
      <w:r w:rsidRPr="00A0236A">
        <w:rPr>
          <w:rFonts w:ascii="Verdana" w:hAnsi="Verdana"/>
        </w:rPr>
        <w:t>)</w:t>
      </w:r>
      <w:r w:rsidR="00935AD0">
        <w:rPr>
          <w:rFonts w:ascii="Verdana" w:hAnsi="Verdana"/>
        </w:rPr>
        <w:t xml:space="preserve"> </w:t>
      </w:r>
      <w:r w:rsidRPr="00A0236A">
        <w:rPr>
          <w:rFonts w:ascii="Verdana" w:hAnsi="Verdana"/>
        </w:rPr>
        <w:t xml:space="preserve"> </w:t>
      </w:r>
      <w:r>
        <w:rPr>
          <w:rFonts w:ascii="Verdana" w:hAnsi="Verdana"/>
        </w:rPr>
        <w:t>[</w:t>
      </w:r>
      <w:r w:rsidR="00935AD0" w:rsidRPr="00935AD0">
        <w:rPr>
          <w:rFonts w:ascii="Verdana" w:hAnsi="Verdana"/>
          <w:i/>
        </w:rPr>
        <w:t xml:space="preserve">H. </w:t>
      </w:r>
      <w:r w:rsidRPr="00935AD0">
        <w:rPr>
          <w:rFonts w:ascii="Verdana" w:hAnsi="Verdana"/>
          <w:i/>
        </w:rPr>
        <w:t>Herr</w:t>
      </w:r>
      <w:r>
        <w:rPr>
          <w:rFonts w:ascii="Verdana" w:hAnsi="Verdana"/>
        </w:rPr>
        <w:t>]</w:t>
      </w:r>
    </w:p>
    <w:p w:rsidR="006A2769" w:rsidRDefault="00C47573" w:rsidP="006A2769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</w:t>
      </w:r>
      <w:proofErr w:type="spellStart"/>
      <w:r w:rsidRPr="00C47573">
        <w:rPr>
          <w:rFonts w:ascii="Verdana" w:hAnsi="Verdana"/>
        </w:rPr>
        <w:t>Beschäftigungs</w:t>
      </w:r>
      <w:r w:rsidRPr="00C47573">
        <w:rPr>
          <w:rFonts w:ascii="Verdana" w:hAnsi="Verdana"/>
        </w:rPr>
        <w:softHyphen/>
        <w:t>höhe</w:t>
      </w:r>
      <w:proofErr w:type="spellEnd"/>
      <w:r w:rsidRPr="00C47573">
        <w:rPr>
          <w:rFonts w:ascii="Verdana" w:hAnsi="Verdana"/>
        </w:rPr>
        <w:t xml:space="preserve">, Stundenlohn oder Produktivität sind für die Höhe des </w:t>
      </w:r>
      <w:r w:rsidRPr="004E0975">
        <w:rPr>
          <w:rFonts w:ascii="Verdana" w:hAnsi="Verdana"/>
          <w:i/>
        </w:rPr>
        <w:t>Gesamt</w:t>
      </w:r>
      <w:r w:rsidRPr="004E0975">
        <w:rPr>
          <w:rFonts w:ascii="Verdana" w:hAnsi="Verdana"/>
          <w:i/>
        </w:rPr>
        <w:softHyphen/>
        <w:t>gewinns</w:t>
      </w:r>
      <w:r w:rsidRPr="00C47573">
        <w:rPr>
          <w:rFonts w:ascii="Verdana" w:hAnsi="Verdana"/>
        </w:rPr>
        <w:t xml:space="preserve"> des Firmensektors </w:t>
      </w:r>
      <w:r w:rsidRPr="00B867FA">
        <w:rPr>
          <w:rStyle w:val="gelb"/>
          <w:rFonts w:ascii="Verdana" w:hAnsi="Verdana"/>
          <w:i/>
        </w:rPr>
        <w:t>irrelevant</w:t>
      </w:r>
      <w:r w:rsidR="006A2769">
        <w:rPr>
          <w:rStyle w:val="gelb"/>
          <w:rFonts w:ascii="Verdana" w:hAnsi="Verdana"/>
        </w:rPr>
        <w:t xml:space="preserve"> </w:t>
      </w:r>
      <w:r w:rsidR="006A2769" w:rsidRPr="00C47573">
        <w:rPr>
          <w:rFonts w:ascii="Verdana" w:hAnsi="Verdana"/>
        </w:rPr>
        <w:t>—</w:t>
      </w:r>
      <w:r w:rsidR="006A2769">
        <w:rPr>
          <w:rFonts w:ascii="Verdana" w:hAnsi="Verdana"/>
        </w:rPr>
        <w:t xml:space="preserve"> daher das geringe Interesse der Arbeitgeber, die Beschäftigung auszuweiten</w:t>
      </w:r>
    </w:p>
    <w:p w:rsidR="00C47573" w:rsidRDefault="006A2769" w:rsidP="006A2769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>•</w:t>
      </w:r>
      <w:r w:rsidR="00F22F92">
        <w:rPr>
          <w:rFonts w:ascii="Verdana" w:hAnsi="Verdana"/>
        </w:rPr>
        <w:t xml:space="preserve"> </w:t>
      </w:r>
      <w:r w:rsidR="009C4569" w:rsidRPr="00E77A65">
        <w:rPr>
          <w:rFonts w:ascii="Verdana" w:hAnsi="Verdana"/>
        </w:rPr>
        <w:t xml:space="preserve">die </w:t>
      </w:r>
      <w:r w:rsidR="009C4569" w:rsidRPr="00E77A65">
        <w:rPr>
          <w:rFonts w:ascii="Verdana" w:hAnsi="Verdana"/>
          <w:b/>
        </w:rPr>
        <w:t>Beschäftigung</w:t>
      </w:r>
      <w:r w:rsidR="001B034D">
        <w:rPr>
          <w:rFonts w:ascii="Verdana" w:hAnsi="Verdana"/>
        </w:rPr>
        <w:t xml:space="preserve"> in Abhängigkeit vom System</w:t>
      </w:r>
      <w:r w:rsidR="009C4569">
        <w:rPr>
          <w:rFonts w:ascii="Verdana" w:hAnsi="Verdana"/>
        </w:rPr>
        <w:t xml:space="preserve"> </w:t>
      </w:r>
      <w:r w:rsidR="001B034D">
        <w:rPr>
          <w:rFonts w:ascii="Verdana" w:hAnsi="Verdana"/>
        </w:rPr>
        <w:t>der Konsumwirtschaft</w:t>
      </w:r>
      <w:r w:rsidR="009C4569">
        <w:rPr>
          <w:rFonts w:ascii="Verdana" w:hAnsi="Verdana"/>
        </w:rPr>
        <w:t>:</w:t>
      </w:r>
    </w:p>
    <w:tbl>
      <w:tblPr>
        <w:tblW w:w="9264" w:type="dxa"/>
        <w:tblCellSpacing w:w="0" w:type="dxa"/>
        <w:tblBorders>
          <w:top w:val="single" w:sz="6" w:space="0" w:color="BB6666"/>
          <w:left w:val="single" w:sz="6" w:space="0" w:color="BB6666"/>
          <w:bottom w:val="single" w:sz="6" w:space="0" w:color="BB6666"/>
          <w:right w:val="single" w:sz="6" w:space="0" w:color="BB66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2374"/>
        <w:gridCol w:w="1799"/>
        <w:gridCol w:w="1781"/>
        <w:gridCol w:w="1417"/>
        <w:gridCol w:w="35"/>
      </w:tblGrid>
      <w:tr w:rsidR="009C4569" w:rsidRPr="009C4569" w:rsidTr="000968F4">
        <w:trPr>
          <w:gridAfter w:val="1"/>
          <w:wAfter w:w="35" w:type="dxa"/>
          <w:tblCellSpacing w:w="0" w:type="dxa"/>
        </w:trPr>
        <w:tc>
          <w:tcPr>
            <w:tcW w:w="1858" w:type="dxa"/>
            <w:vMerge w:val="restart"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Beschäftigung </w:t>
            </w:r>
            <w:r w:rsidRPr="009C4569">
              <w:rPr>
                <w:rFonts w:ascii="Verdana" w:hAnsi="Verdana"/>
                <w:sz w:val="18"/>
              </w:rPr>
              <w:t>L</w:t>
            </w:r>
            <w:r w:rsidRPr="009C4569">
              <w:rPr>
                <w:rFonts w:ascii="Verdana" w:hAnsi="Verdana"/>
                <w:sz w:val="18"/>
                <w:szCs w:val="18"/>
              </w:rPr>
              <w:t xml:space="preserve"> = </w:t>
            </w:r>
          </w:p>
        </w:tc>
        <w:tc>
          <w:tcPr>
            <w:tcW w:w="5954" w:type="dxa"/>
            <w:gridSpan w:val="3"/>
            <w:tcBorders>
              <w:bottom w:val="single" w:sz="6" w:space="0" w:color="auto"/>
            </w:tcBorders>
            <w:vAlign w:val="center"/>
            <w:hideMark/>
          </w:tcPr>
          <w:p w:rsidR="009C4569" w:rsidRPr="009C4569" w:rsidRDefault="009C4569" w:rsidP="009C45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ausgeschütteter Gewinn </w:t>
            </w:r>
            <w:r w:rsidRPr="009C4569">
              <w:rPr>
                <w:rFonts w:ascii="Verdana" w:hAnsi="Verdana"/>
                <w:sz w:val="18"/>
              </w:rPr>
              <w:t>Y</w:t>
            </w:r>
            <w:r w:rsidRPr="009C4569">
              <w:rPr>
                <w:rFonts w:ascii="Verdana" w:hAnsi="Verdana"/>
                <w:sz w:val="18"/>
                <w:vertAlign w:val="subscript"/>
              </w:rPr>
              <w:t>D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  <w:r w:rsidRPr="009C4569">
              <w:rPr>
                <w:rFonts w:ascii="Verdana" w:hAnsi="Verdana"/>
                <w:sz w:val="18"/>
                <w:szCs w:val="18"/>
              </w:rPr>
              <w:t xml:space="preserve">  </w:t>
            </w:r>
            <w:r w:rsidRPr="003D3650">
              <w:rPr>
                <w:rFonts w:ascii="Verdana" w:hAnsi="Verdana"/>
              </w:rPr>
              <w:t>|</w:t>
            </w:r>
            <w:r w:rsidR="000968F4">
              <w:rPr>
                <w:rFonts w:ascii="Verdana" w:hAnsi="Verdana"/>
                <w:sz w:val="18"/>
                <w:szCs w:val="18"/>
              </w:rPr>
              <w:t xml:space="preserve"> in Periode </w:t>
            </w:r>
            <w:r w:rsidRPr="009C4569">
              <w:rPr>
                <w:rFonts w:ascii="Verdana" w:hAnsi="Verdana"/>
                <w:sz w:val="18"/>
                <w:szCs w:val="18"/>
              </w:rPr>
              <w:t>t</w:t>
            </w:r>
          </w:p>
        </w:tc>
      </w:tr>
      <w:tr w:rsidR="000968F4" w:rsidRPr="009C4569" w:rsidTr="000968F4">
        <w:trPr>
          <w:gridAfter w:val="1"/>
          <w:wAfter w:w="35" w:type="dxa"/>
          <w:tblCellSpacing w:w="0" w:type="dxa"/>
        </w:trPr>
        <w:tc>
          <w:tcPr>
            <w:tcW w:w="1858" w:type="dxa"/>
            <w:vMerge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Preis </w:t>
            </w:r>
            <w:r w:rsidRPr="009C4569">
              <w:rPr>
                <w:rFonts w:ascii="Verdana" w:hAnsi="Verdana"/>
                <w:sz w:val="18"/>
              </w:rPr>
              <w:t>P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9C4569">
              <w:rPr>
                <w:rFonts w:ascii="Verdana" w:hAnsi="Verdana"/>
                <w:sz w:val="18"/>
                <w:szCs w:val="18"/>
              </w:rPr>
              <w:t>·</w:t>
            </w:r>
            <w:r>
              <w:rPr>
                <w:rFonts w:ascii="Verdana" w:hAnsi="Verdana"/>
                <w:sz w:val="18"/>
                <w:szCs w:val="18"/>
              </w:rPr>
              <w:t xml:space="preserve"> Produktivität </w:t>
            </w:r>
            <w:r w:rsidRPr="009C4569">
              <w:rPr>
                <w:rFonts w:ascii="Verdana" w:hAnsi="Verdana"/>
                <w:sz w:val="18"/>
              </w:rPr>
              <w:t>R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9C4569">
              <w:rPr>
                <w:rFonts w:ascii="Verdana" w:hAnsi="Verdana"/>
                <w:sz w:val="18"/>
                <w:szCs w:val="18"/>
              </w:rPr>
              <w:t>·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99" w:type="dxa"/>
            <w:tcBorders>
              <w:bottom w:val="single" w:sz="6" w:space="0" w:color="auto"/>
            </w:tcBorders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Verkaufsquotient </w:t>
            </w:r>
            <w:proofErr w:type="spellStart"/>
            <w:r w:rsidRPr="009C4569">
              <w:rPr>
                <w:rFonts w:ascii="Verdana" w:hAnsi="Verdana"/>
                <w:sz w:val="18"/>
              </w:rPr>
              <w:t>ρ</w:t>
            </w:r>
            <w:r w:rsidRPr="009C4569">
              <w:rPr>
                <w:rFonts w:ascii="Verdana" w:hAnsi="Verdana"/>
                <w:sz w:val="18"/>
                <w:vertAlign w:val="subscript"/>
              </w:rPr>
              <w:t>X</w:t>
            </w:r>
            <w:proofErr w:type="spellEnd"/>
          </w:p>
        </w:tc>
        <w:tc>
          <w:tcPr>
            <w:tcW w:w="1781" w:type="dxa"/>
            <w:vMerge w:val="restart"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  <w:r w:rsidRPr="009C4569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C4569">
              <w:rPr>
                <w:rFonts w:ascii="Verdana" w:hAnsi="Verdana"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sz w:val="18"/>
                <w:szCs w:val="18"/>
              </w:rPr>
              <w:t xml:space="preserve">Stundenlohn </w:t>
            </w:r>
            <w:r w:rsidRPr="009C4569">
              <w:rPr>
                <w:rFonts w:ascii="Verdana" w:hAnsi="Verdana"/>
                <w:sz w:val="18"/>
              </w:rPr>
              <w:t>W</w:t>
            </w:r>
          </w:p>
        </w:tc>
        <w:tc>
          <w:tcPr>
            <w:tcW w:w="1417" w:type="dxa"/>
            <w:vMerge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68F4" w:rsidRPr="009C4569" w:rsidTr="000968F4">
        <w:trPr>
          <w:tblCellSpacing w:w="0" w:type="dxa"/>
        </w:trPr>
        <w:tc>
          <w:tcPr>
            <w:tcW w:w="1858" w:type="dxa"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  <w:r w:rsidRPr="009C4569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74" w:type="dxa"/>
            <w:vMerge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9" w:type="dxa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Konsumquotient </w:t>
            </w:r>
            <w:proofErr w:type="spellStart"/>
            <w:r w:rsidRPr="009C4569">
              <w:rPr>
                <w:rFonts w:ascii="Verdana" w:hAnsi="Verdana"/>
                <w:sz w:val="18"/>
              </w:rPr>
              <w:t>ρ</w:t>
            </w:r>
            <w:r w:rsidRPr="009C4569">
              <w:rPr>
                <w:rFonts w:ascii="Verdana" w:hAnsi="Verdana"/>
                <w:sz w:val="18"/>
                <w:vertAlign w:val="subscript"/>
              </w:rPr>
              <w:t>E</w:t>
            </w:r>
            <w:proofErr w:type="spellEnd"/>
          </w:p>
        </w:tc>
        <w:tc>
          <w:tcPr>
            <w:tcW w:w="1781" w:type="dxa"/>
            <w:vMerge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  <w:r w:rsidRPr="009C4569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9C4569" w:rsidRPr="009C4569" w:rsidRDefault="009C4569" w:rsidP="009C4569">
            <w:pPr>
              <w:rPr>
                <w:rFonts w:ascii="Verdana" w:hAnsi="Verdana"/>
                <w:sz w:val="18"/>
                <w:szCs w:val="18"/>
              </w:rPr>
            </w:pPr>
            <w:r w:rsidRPr="009C4569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:rsidR="00882810" w:rsidRDefault="00882810" w:rsidP="00C47573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</w:t>
      </w:r>
      <w:r w:rsidR="00AA5290">
        <w:rPr>
          <w:rFonts w:ascii="Verdana" w:hAnsi="Verdana"/>
        </w:rPr>
        <w:t>so ist diese Formel zu lesen: anwachs</w:t>
      </w:r>
      <w:r>
        <w:rPr>
          <w:rFonts w:ascii="Verdana" w:hAnsi="Verdana"/>
        </w:rPr>
        <w:t xml:space="preserve">ende Größen oberhalb des </w:t>
      </w:r>
      <w:r w:rsidR="004E0975">
        <w:rPr>
          <w:rFonts w:ascii="Verdana" w:hAnsi="Verdana"/>
        </w:rPr>
        <w:t xml:space="preserve">großen </w:t>
      </w:r>
      <w:r>
        <w:rPr>
          <w:rFonts w:ascii="Verdana" w:hAnsi="Verdana"/>
        </w:rPr>
        <w:t xml:space="preserve">Bruchstrichs erhöhen, </w:t>
      </w:r>
      <w:r w:rsidR="004E0975">
        <w:rPr>
          <w:rFonts w:ascii="Verdana" w:hAnsi="Verdana"/>
        </w:rPr>
        <w:t xml:space="preserve">die </w:t>
      </w:r>
      <w:r>
        <w:rPr>
          <w:rFonts w:ascii="Verdana" w:hAnsi="Verdana"/>
        </w:rPr>
        <w:t>un</w:t>
      </w:r>
      <w:r w:rsidR="004E0975">
        <w:rPr>
          <w:rFonts w:ascii="Verdana" w:hAnsi="Verdana"/>
        </w:rPr>
        <w:softHyphen/>
      </w:r>
      <w:r>
        <w:rPr>
          <w:rFonts w:ascii="Verdana" w:hAnsi="Verdana"/>
        </w:rPr>
        <w:t>ter</w:t>
      </w:r>
      <w:r w:rsidR="004E0975">
        <w:rPr>
          <w:rFonts w:ascii="Verdana" w:hAnsi="Verdana"/>
        </w:rPr>
        <w:softHyphen/>
      </w:r>
      <w:r>
        <w:rPr>
          <w:rFonts w:ascii="Verdana" w:hAnsi="Verdana"/>
        </w:rPr>
        <w:t>halb vermindern die Beschäftigung, also:</w:t>
      </w:r>
    </w:p>
    <w:p w:rsidR="00882810" w:rsidRDefault="00882810" w:rsidP="00C47573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</w:t>
      </w:r>
      <w:r w:rsidR="004E0975" w:rsidRPr="004E0975">
        <w:rPr>
          <w:rFonts w:ascii="Verdana" w:hAnsi="Verdana"/>
          <w:i/>
        </w:rPr>
        <w:t>ausgeschütteter Gewinn</w:t>
      </w:r>
      <w:r w:rsidR="004E0975">
        <w:rPr>
          <w:rFonts w:ascii="Verdana" w:hAnsi="Verdana"/>
        </w:rPr>
        <w:t xml:space="preserve"> wirkt positiv auf die Beschäftigungshöhe</w:t>
      </w:r>
    </w:p>
    <w:p w:rsidR="00882810" w:rsidRDefault="00882810" w:rsidP="00C47573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</w:t>
      </w:r>
      <w:r w:rsidR="004E0975" w:rsidRPr="004E0975">
        <w:rPr>
          <w:rFonts w:ascii="Verdana" w:hAnsi="Verdana"/>
          <w:i/>
        </w:rPr>
        <w:t>Produktpreis</w:t>
      </w:r>
      <w:r w:rsidR="004E0975">
        <w:rPr>
          <w:rFonts w:ascii="Verdana" w:hAnsi="Verdana"/>
        </w:rPr>
        <w:t>(</w:t>
      </w:r>
      <w:proofErr w:type="spellStart"/>
      <w:r w:rsidR="004E0975">
        <w:rPr>
          <w:rFonts w:ascii="Verdana" w:hAnsi="Verdana"/>
        </w:rPr>
        <w:t>niveau</w:t>
      </w:r>
      <w:proofErr w:type="spellEnd"/>
      <w:r w:rsidR="004E0975">
        <w:rPr>
          <w:rFonts w:ascii="Verdana" w:hAnsi="Verdana"/>
        </w:rPr>
        <w:t xml:space="preserve">), </w:t>
      </w:r>
      <w:r w:rsidR="004E0975" w:rsidRPr="004E0975">
        <w:rPr>
          <w:rFonts w:ascii="Verdana" w:hAnsi="Verdana"/>
          <w:i/>
        </w:rPr>
        <w:t>Produktivität</w:t>
      </w:r>
      <w:r w:rsidR="004E0975">
        <w:rPr>
          <w:rFonts w:ascii="Verdana" w:hAnsi="Verdana"/>
        </w:rPr>
        <w:t xml:space="preserve"> und </w:t>
      </w:r>
      <w:r w:rsidR="004E0975" w:rsidRPr="004E0975">
        <w:rPr>
          <w:rFonts w:ascii="Verdana" w:hAnsi="Verdana"/>
          <w:i/>
        </w:rPr>
        <w:t>Verkaufsquotient</w:t>
      </w:r>
      <w:r w:rsidR="001B034D">
        <w:rPr>
          <w:rFonts w:ascii="Verdana" w:hAnsi="Verdana"/>
        </w:rPr>
        <w:t xml:space="preserve"> wirken negativ</w:t>
      </w:r>
    </w:p>
    <w:p w:rsidR="004E0975" w:rsidRDefault="004E0975" w:rsidP="004E0975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</w:t>
      </w:r>
      <w:r>
        <w:rPr>
          <w:rFonts w:ascii="Verdana" w:hAnsi="Verdana"/>
        </w:rPr>
        <w:t xml:space="preserve">unterhalb des großen Bruchstrichs wirkt der </w:t>
      </w:r>
      <w:r w:rsidR="00BA0589">
        <w:rPr>
          <w:rFonts w:ascii="Verdana" w:hAnsi="Verdana"/>
        </w:rPr>
        <w:t xml:space="preserve">nominale </w:t>
      </w:r>
      <w:r w:rsidRPr="004E0975">
        <w:rPr>
          <w:rFonts w:ascii="Verdana" w:hAnsi="Verdana"/>
          <w:i/>
        </w:rPr>
        <w:t>Stundenlohn</w:t>
      </w:r>
      <w:r>
        <w:rPr>
          <w:rFonts w:ascii="Verdana" w:hAnsi="Verdana"/>
        </w:rPr>
        <w:t xml:space="preserve"> mit negativem Vorzeichen positiv auf die </w:t>
      </w:r>
      <w:r w:rsidR="00014FBE">
        <w:rPr>
          <w:rFonts w:ascii="Verdana" w:hAnsi="Verdana"/>
        </w:rPr>
        <w:t>Beschäftigungshöhe</w:t>
      </w:r>
    </w:p>
    <w:p w:rsidR="001B034D" w:rsidRDefault="001B034D" w:rsidP="001B034D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</w:t>
      </w:r>
      <w:r>
        <w:rPr>
          <w:rFonts w:ascii="Verdana" w:hAnsi="Verdana"/>
        </w:rPr>
        <w:t xml:space="preserve">unterhalb des kleinen Bruchstrichs wirkt der </w:t>
      </w:r>
      <w:r w:rsidRPr="004E0975">
        <w:rPr>
          <w:rFonts w:ascii="Verdana" w:hAnsi="Verdana"/>
          <w:i/>
        </w:rPr>
        <w:t>Konsumquotient</w:t>
      </w:r>
      <w:r>
        <w:rPr>
          <w:rFonts w:ascii="Verdana" w:hAnsi="Verdana"/>
        </w:rPr>
        <w:t xml:space="preserve"> positiv</w:t>
      </w:r>
    </w:p>
    <w:p w:rsidR="00015A17" w:rsidRDefault="00882810" w:rsidP="00015A17">
      <w:pPr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</w:t>
      </w:r>
      <w:r w:rsidR="001B034D">
        <w:rPr>
          <w:rFonts w:ascii="Verdana" w:hAnsi="Verdana"/>
        </w:rPr>
        <w:t>im erweiterten System der Investitionswirtschaft wirken die</w:t>
      </w:r>
      <w:r w:rsidR="004E0975">
        <w:rPr>
          <w:rFonts w:ascii="Verdana" w:hAnsi="Verdana"/>
        </w:rPr>
        <w:t xml:space="preserve"> </w:t>
      </w:r>
      <w:r w:rsidR="001B034D">
        <w:rPr>
          <w:rFonts w:ascii="Verdana" w:hAnsi="Verdana"/>
          <w:i/>
        </w:rPr>
        <w:t>Investitions</w:t>
      </w:r>
      <w:r w:rsidR="001B034D">
        <w:rPr>
          <w:rFonts w:ascii="Verdana" w:hAnsi="Verdana"/>
          <w:i/>
        </w:rPr>
        <w:softHyphen/>
        <w:t>aus</w:t>
      </w:r>
      <w:r w:rsidR="001B034D">
        <w:rPr>
          <w:rFonts w:ascii="Verdana" w:hAnsi="Verdana"/>
          <w:i/>
        </w:rPr>
        <w:softHyphen/>
        <w:t xml:space="preserve">gaben </w:t>
      </w:r>
      <w:r w:rsidR="001B034D">
        <w:rPr>
          <w:rFonts w:ascii="Verdana" w:hAnsi="Verdana"/>
        </w:rPr>
        <w:t>positiv auf die Beschäftigungshöhe</w:t>
      </w:r>
    </w:p>
    <w:p w:rsidR="00B0405D" w:rsidRDefault="00C47573" w:rsidP="00314CD2">
      <w:pPr>
        <w:spacing w:before="40"/>
        <w:ind w:left="198" w:hanging="198"/>
        <w:rPr>
          <w:rFonts w:ascii="Verdana" w:hAnsi="Verdana"/>
        </w:rPr>
      </w:pPr>
      <w:r w:rsidRPr="00C47573">
        <w:rPr>
          <w:rFonts w:ascii="Verdana" w:hAnsi="Verdana"/>
        </w:rPr>
        <w:t xml:space="preserve">• </w:t>
      </w:r>
      <w:r w:rsidR="004E0975">
        <w:rPr>
          <w:rFonts w:ascii="Verdana" w:hAnsi="Verdana"/>
        </w:rPr>
        <w:t xml:space="preserve">eine </w:t>
      </w:r>
      <w:r w:rsidRPr="00C47573">
        <w:rPr>
          <w:rFonts w:ascii="Verdana" w:hAnsi="Verdana"/>
        </w:rPr>
        <w:t>Starrheit der Löhne als Erklärung für Arbeits</w:t>
      </w:r>
      <w:r w:rsidRPr="00C47573">
        <w:rPr>
          <w:rFonts w:ascii="Verdana" w:hAnsi="Verdana"/>
        </w:rPr>
        <w:softHyphen/>
        <w:t>losig</w:t>
      </w:r>
      <w:r>
        <w:rPr>
          <w:rFonts w:ascii="Verdana" w:hAnsi="Verdana"/>
        </w:rPr>
        <w:t>keit scheidet ma</w:t>
      </w:r>
      <w:r w:rsidR="00331A73">
        <w:rPr>
          <w:rFonts w:ascii="Verdana" w:hAnsi="Verdana"/>
        </w:rPr>
        <w:softHyphen/>
      </w:r>
      <w:r>
        <w:rPr>
          <w:rFonts w:ascii="Verdana" w:hAnsi="Verdana"/>
        </w:rPr>
        <w:t>the</w:t>
      </w:r>
      <w:r w:rsidR="00331A73">
        <w:rPr>
          <w:rFonts w:ascii="Verdana" w:hAnsi="Verdana"/>
        </w:rPr>
        <w:softHyphen/>
      </w:r>
      <w:r>
        <w:rPr>
          <w:rFonts w:ascii="Verdana" w:hAnsi="Verdana"/>
        </w:rPr>
        <w:t>ma</w:t>
      </w:r>
      <w:r w:rsidR="006763D1">
        <w:rPr>
          <w:rFonts w:ascii="Verdana" w:hAnsi="Verdana"/>
        </w:rPr>
        <w:softHyphen/>
      </w:r>
      <w:r>
        <w:rPr>
          <w:rFonts w:ascii="Verdana" w:hAnsi="Verdana"/>
        </w:rPr>
        <w:t>tisch aus</w:t>
      </w:r>
      <w:r w:rsidR="00331A73">
        <w:rPr>
          <w:rFonts w:ascii="Verdana" w:hAnsi="Verdana"/>
        </w:rPr>
        <w:t xml:space="preserve">: </w:t>
      </w:r>
      <w:r w:rsidRPr="00C47573">
        <w:rPr>
          <w:rFonts w:ascii="Verdana" w:hAnsi="Verdana"/>
        </w:rPr>
        <w:t xml:space="preserve">die Beschäftigung bleibt </w:t>
      </w:r>
      <w:r w:rsidR="00B0405D">
        <w:rPr>
          <w:rFonts w:ascii="Verdana" w:hAnsi="Verdana"/>
        </w:rPr>
        <w:t xml:space="preserve">trotz </w:t>
      </w:r>
      <w:r w:rsidR="00B0405D" w:rsidRPr="00C47573">
        <w:rPr>
          <w:rFonts w:ascii="Verdana" w:hAnsi="Verdana"/>
        </w:rPr>
        <w:t>Preismechanismus</w:t>
      </w:r>
      <w:r w:rsidRPr="00C47573">
        <w:rPr>
          <w:rFonts w:ascii="Verdana" w:hAnsi="Verdana"/>
        </w:rPr>
        <w:t xml:space="preserve"> träge</w:t>
      </w:r>
    </w:p>
    <w:p w:rsidR="00C47573" w:rsidRDefault="000B3EBA" w:rsidP="00C47573">
      <w:pPr>
        <w:ind w:left="198" w:hanging="198"/>
        <w:rPr>
          <w:rFonts w:ascii="Verdana" w:hAnsi="Verdana"/>
        </w:rPr>
      </w:pPr>
      <w:r>
        <w:rPr>
          <w:rFonts w:ascii="Verdana" w:hAnsi="Verdana"/>
        </w:rPr>
        <w:t>• bleibende Arbeits</w:t>
      </w:r>
      <w:r>
        <w:rPr>
          <w:rFonts w:ascii="Verdana" w:hAnsi="Verdana"/>
        </w:rPr>
        <w:softHyphen/>
        <w:t>losigkeit is</w:t>
      </w:r>
      <w:r w:rsidR="00C47573" w:rsidRPr="00C47573">
        <w:rPr>
          <w:rFonts w:ascii="Verdana" w:hAnsi="Verdana"/>
        </w:rPr>
        <w:t>t ein Normal</w:t>
      </w:r>
      <w:r w:rsidR="00C47573" w:rsidRPr="00C47573">
        <w:rPr>
          <w:rFonts w:ascii="Verdana" w:hAnsi="Verdana"/>
        </w:rPr>
        <w:softHyphen/>
        <w:t>zustand</w:t>
      </w:r>
      <w:r w:rsidR="00EE32E6">
        <w:rPr>
          <w:rFonts w:ascii="Verdana" w:hAnsi="Verdana"/>
        </w:rPr>
        <w:t xml:space="preserve"> </w:t>
      </w:r>
      <w:r w:rsidR="00331A73" w:rsidRPr="00C47573">
        <w:rPr>
          <w:rFonts w:ascii="Verdana" w:hAnsi="Verdana"/>
        </w:rPr>
        <w:t>—</w:t>
      </w:r>
      <w:r w:rsidR="00331A73">
        <w:rPr>
          <w:rFonts w:ascii="Verdana" w:hAnsi="Verdana"/>
        </w:rPr>
        <w:t xml:space="preserve"> </w:t>
      </w:r>
      <w:r w:rsidR="00EE32E6">
        <w:rPr>
          <w:rFonts w:ascii="Verdana" w:hAnsi="Verdana"/>
        </w:rPr>
        <w:t xml:space="preserve">es gibt keine </w:t>
      </w:r>
      <w:proofErr w:type="spellStart"/>
      <w:r w:rsidR="00EE32E6">
        <w:rPr>
          <w:rFonts w:ascii="Verdana" w:hAnsi="Verdana"/>
        </w:rPr>
        <w:t>Markt</w:t>
      </w:r>
      <w:r>
        <w:rPr>
          <w:rFonts w:ascii="Verdana" w:hAnsi="Verdana"/>
        </w:rPr>
        <w:softHyphen/>
      </w:r>
      <w:r w:rsidR="00EE32E6">
        <w:rPr>
          <w:rFonts w:ascii="Verdana" w:hAnsi="Verdana"/>
        </w:rPr>
        <w:t>kräfte</w:t>
      </w:r>
      <w:proofErr w:type="spellEnd"/>
      <w:r w:rsidR="00EE32E6">
        <w:rPr>
          <w:rFonts w:ascii="Verdana" w:hAnsi="Verdana"/>
        </w:rPr>
        <w:t>, die sie ändern könnten</w:t>
      </w:r>
      <w:r w:rsidR="00331A73">
        <w:rPr>
          <w:rFonts w:ascii="Verdana" w:hAnsi="Verdana"/>
        </w:rPr>
        <w:t xml:space="preserve"> </w:t>
      </w:r>
      <w:r w:rsidR="00331A73" w:rsidRPr="00C47573">
        <w:rPr>
          <w:rFonts w:ascii="Verdana" w:hAnsi="Verdana"/>
        </w:rPr>
        <w:t>—</w:t>
      </w:r>
      <w:r w:rsidR="00331A73">
        <w:rPr>
          <w:rFonts w:ascii="Verdana" w:hAnsi="Verdana"/>
        </w:rPr>
        <w:t xml:space="preserve"> </w:t>
      </w:r>
      <w:r w:rsidR="00505862">
        <w:rPr>
          <w:rFonts w:ascii="Verdana" w:hAnsi="Verdana"/>
        </w:rPr>
        <w:t xml:space="preserve">höchstens </w:t>
      </w:r>
      <w:r w:rsidR="00331A73">
        <w:rPr>
          <w:rFonts w:ascii="Verdana" w:hAnsi="Verdana"/>
        </w:rPr>
        <w:t>Möglichkeiten des Staates</w:t>
      </w:r>
    </w:p>
    <w:sectPr w:rsidR="00C47573" w:rsidSect="00087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14" w:rsidRDefault="005B3B14" w:rsidP="00EE32E6">
      <w:r>
        <w:separator/>
      </w:r>
    </w:p>
  </w:endnote>
  <w:endnote w:type="continuationSeparator" w:id="0">
    <w:p w:rsidR="005B3B14" w:rsidRDefault="005B3B14" w:rsidP="00EE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14" w:rsidRDefault="005B3B14" w:rsidP="00EE32E6">
      <w:r>
        <w:separator/>
      </w:r>
    </w:p>
  </w:footnote>
  <w:footnote w:type="continuationSeparator" w:id="0">
    <w:p w:rsidR="005B3B14" w:rsidRDefault="005B3B14" w:rsidP="00EE32E6">
      <w:r>
        <w:continuationSeparator/>
      </w:r>
    </w:p>
  </w:footnote>
  <w:footnote w:id="1">
    <w:p w:rsidR="00EE32E6" w:rsidRPr="00756FB3" w:rsidRDefault="00EE32E6" w:rsidP="00045389">
      <w:pPr>
        <w:pStyle w:val="Funotentext"/>
        <w:tabs>
          <w:tab w:val="left" w:pos="6804"/>
        </w:tabs>
        <w:jc w:val="right"/>
      </w:pPr>
      <w:r w:rsidRPr="00756FB3">
        <w:rPr>
          <w:rStyle w:val="Funotenzeichen"/>
        </w:rPr>
        <w:footnoteRef/>
      </w:r>
      <w:r w:rsidRPr="00756FB3">
        <w:t xml:space="preserve">) </w:t>
      </w:r>
      <w:r w:rsidR="00756FB3" w:rsidRPr="00756FB3">
        <w:t xml:space="preserve"> </w:t>
      </w:r>
      <w:r w:rsidR="00B700B2">
        <w:t xml:space="preserve">H. </w:t>
      </w:r>
      <w:r w:rsidR="00756FB3" w:rsidRPr="00756FB3">
        <w:t>Flassbeck: „Der Arbeitsmarkt ist kein Kartoffelmarkt.“</w:t>
      </w:r>
      <w:r w:rsidR="0050495E">
        <w:tab/>
      </w:r>
      <w:r w:rsidR="0050495E" w:rsidRPr="00036445">
        <w:rPr>
          <w:sz w:val="18"/>
          <w:szCs w:val="18"/>
        </w:rPr>
        <w:t>(</w:t>
      </w:r>
      <w:r w:rsidR="0050495E" w:rsidRPr="00036445">
        <w:rPr>
          <w:rFonts w:ascii="Verdana" w:hAnsi="Verdana"/>
          <w:sz w:val="18"/>
          <w:szCs w:val="18"/>
        </w:rPr>
        <w:t>Oskar Fuhlrott</w:t>
      </w:r>
      <w:r w:rsidR="00045389">
        <w:rPr>
          <w:rFonts w:ascii="Verdana" w:hAnsi="Verdana"/>
          <w:sz w:val="18"/>
          <w:szCs w:val="18"/>
        </w:rPr>
        <w:t>, 2015</w:t>
      </w:r>
      <w:r w:rsidR="0050495E" w:rsidRPr="00036445">
        <w:rPr>
          <w:rFonts w:ascii="Verdana" w:hAnsi="Verdana"/>
          <w:sz w:val="18"/>
          <w:szCs w:val="18"/>
        </w:rPr>
        <w:t>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F4"/>
    <w:rsid w:val="00001E91"/>
    <w:rsid w:val="00001EFB"/>
    <w:rsid w:val="00005107"/>
    <w:rsid w:val="00014FBE"/>
    <w:rsid w:val="00015A17"/>
    <w:rsid w:val="00022760"/>
    <w:rsid w:val="00026317"/>
    <w:rsid w:val="00027EB2"/>
    <w:rsid w:val="00036445"/>
    <w:rsid w:val="00043C3A"/>
    <w:rsid w:val="00044FD7"/>
    <w:rsid w:val="00045389"/>
    <w:rsid w:val="00052975"/>
    <w:rsid w:val="00057967"/>
    <w:rsid w:val="00072CC6"/>
    <w:rsid w:val="0008798F"/>
    <w:rsid w:val="000917D5"/>
    <w:rsid w:val="00094B02"/>
    <w:rsid w:val="00095AA1"/>
    <w:rsid w:val="000968F4"/>
    <w:rsid w:val="000B0A8C"/>
    <w:rsid w:val="000B3EBA"/>
    <w:rsid w:val="000B6767"/>
    <w:rsid w:val="000C77D8"/>
    <w:rsid w:val="000E4488"/>
    <w:rsid w:val="000F5A3F"/>
    <w:rsid w:val="001064C5"/>
    <w:rsid w:val="00107BCA"/>
    <w:rsid w:val="00111C3A"/>
    <w:rsid w:val="00112F05"/>
    <w:rsid w:val="0011328C"/>
    <w:rsid w:val="001220CB"/>
    <w:rsid w:val="00127B05"/>
    <w:rsid w:val="00130497"/>
    <w:rsid w:val="00157EBB"/>
    <w:rsid w:val="00160279"/>
    <w:rsid w:val="00180919"/>
    <w:rsid w:val="001840E8"/>
    <w:rsid w:val="001974BA"/>
    <w:rsid w:val="001A04AD"/>
    <w:rsid w:val="001A450D"/>
    <w:rsid w:val="001B034D"/>
    <w:rsid w:val="001C69F4"/>
    <w:rsid w:val="001F3F80"/>
    <w:rsid w:val="001F43FE"/>
    <w:rsid w:val="00220C4A"/>
    <w:rsid w:val="0023133C"/>
    <w:rsid w:val="00245E4C"/>
    <w:rsid w:val="00246F04"/>
    <w:rsid w:val="00267915"/>
    <w:rsid w:val="00277EEA"/>
    <w:rsid w:val="00285BAF"/>
    <w:rsid w:val="00293688"/>
    <w:rsid w:val="00297B5B"/>
    <w:rsid w:val="002A0C00"/>
    <w:rsid w:val="002B5DA4"/>
    <w:rsid w:val="002D45BC"/>
    <w:rsid w:val="002E67F3"/>
    <w:rsid w:val="002F1F15"/>
    <w:rsid w:val="0030341D"/>
    <w:rsid w:val="00304BDA"/>
    <w:rsid w:val="00306EFC"/>
    <w:rsid w:val="00314CD2"/>
    <w:rsid w:val="00320988"/>
    <w:rsid w:val="00323A4E"/>
    <w:rsid w:val="00324DF1"/>
    <w:rsid w:val="00327BD2"/>
    <w:rsid w:val="00330F46"/>
    <w:rsid w:val="00331A73"/>
    <w:rsid w:val="00336FFD"/>
    <w:rsid w:val="00367030"/>
    <w:rsid w:val="003726C3"/>
    <w:rsid w:val="003A45F7"/>
    <w:rsid w:val="003B036C"/>
    <w:rsid w:val="003D3650"/>
    <w:rsid w:val="003E1F9A"/>
    <w:rsid w:val="003F02A5"/>
    <w:rsid w:val="003F0A63"/>
    <w:rsid w:val="003F5715"/>
    <w:rsid w:val="0041413C"/>
    <w:rsid w:val="004168AA"/>
    <w:rsid w:val="004248A7"/>
    <w:rsid w:val="00435BB6"/>
    <w:rsid w:val="00436226"/>
    <w:rsid w:val="00437729"/>
    <w:rsid w:val="00453674"/>
    <w:rsid w:val="00475749"/>
    <w:rsid w:val="00485393"/>
    <w:rsid w:val="004A7F0F"/>
    <w:rsid w:val="004B33F8"/>
    <w:rsid w:val="004B5FDE"/>
    <w:rsid w:val="004C220A"/>
    <w:rsid w:val="004C3F3E"/>
    <w:rsid w:val="004E0975"/>
    <w:rsid w:val="004E3EF9"/>
    <w:rsid w:val="004F2C37"/>
    <w:rsid w:val="004F73F8"/>
    <w:rsid w:val="0050495E"/>
    <w:rsid w:val="00505862"/>
    <w:rsid w:val="005059B0"/>
    <w:rsid w:val="00510A69"/>
    <w:rsid w:val="00565986"/>
    <w:rsid w:val="005B3B14"/>
    <w:rsid w:val="005C1825"/>
    <w:rsid w:val="005C1AFA"/>
    <w:rsid w:val="005E6C82"/>
    <w:rsid w:val="00611051"/>
    <w:rsid w:val="00616C90"/>
    <w:rsid w:val="006258F4"/>
    <w:rsid w:val="0064533A"/>
    <w:rsid w:val="00653174"/>
    <w:rsid w:val="006763D1"/>
    <w:rsid w:val="00692B8F"/>
    <w:rsid w:val="006A2769"/>
    <w:rsid w:val="006A7FC3"/>
    <w:rsid w:val="006C116B"/>
    <w:rsid w:val="006C2635"/>
    <w:rsid w:val="006D4B74"/>
    <w:rsid w:val="006E4592"/>
    <w:rsid w:val="00702B36"/>
    <w:rsid w:val="00706BA1"/>
    <w:rsid w:val="00716EE4"/>
    <w:rsid w:val="00732124"/>
    <w:rsid w:val="00756FB3"/>
    <w:rsid w:val="00780EEA"/>
    <w:rsid w:val="00785175"/>
    <w:rsid w:val="00791463"/>
    <w:rsid w:val="00792361"/>
    <w:rsid w:val="00794026"/>
    <w:rsid w:val="00797778"/>
    <w:rsid w:val="007B113E"/>
    <w:rsid w:val="007D52F1"/>
    <w:rsid w:val="007F0E7C"/>
    <w:rsid w:val="008018A2"/>
    <w:rsid w:val="00816583"/>
    <w:rsid w:val="00820098"/>
    <w:rsid w:val="00826364"/>
    <w:rsid w:val="00831C97"/>
    <w:rsid w:val="00872D61"/>
    <w:rsid w:val="00882810"/>
    <w:rsid w:val="00890120"/>
    <w:rsid w:val="008921E5"/>
    <w:rsid w:val="008A6E73"/>
    <w:rsid w:val="008A7C60"/>
    <w:rsid w:val="008B3CDE"/>
    <w:rsid w:val="00912290"/>
    <w:rsid w:val="00935AD0"/>
    <w:rsid w:val="009442BA"/>
    <w:rsid w:val="009535DA"/>
    <w:rsid w:val="0097187B"/>
    <w:rsid w:val="00971A9A"/>
    <w:rsid w:val="0099238E"/>
    <w:rsid w:val="009A0710"/>
    <w:rsid w:val="009C4569"/>
    <w:rsid w:val="00A00A58"/>
    <w:rsid w:val="00A0236A"/>
    <w:rsid w:val="00A03976"/>
    <w:rsid w:val="00A0738A"/>
    <w:rsid w:val="00A512EE"/>
    <w:rsid w:val="00A77F36"/>
    <w:rsid w:val="00A83758"/>
    <w:rsid w:val="00A91F83"/>
    <w:rsid w:val="00A963C5"/>
    <w:rsid w:val="00AA36C9"/>
    <w:rsid w:val="00AA5290"/>
    <w:rsid w:val="00AD1123"/>
    <w:rsid w:val="00B0405D"/>
    <w:rsid w:val="00B06EA6"/>
    <w:rsid w:val="00B10D59"/>
    <w:rsid w:val="00B43B88"/>
    <w:rsid w:val="00B62986"/>
    <w:rsid w:val="00B700B2"/>
    <w:rsid w:val="00B71362"/>
    <w:rsid w:val="00B867FA"/>
    <w:rsid w:val="00B91A8F"/>
    <w:rsid w:val="00B972F5"/>
    <w:rsid w:val="00BA0589"/>
    <w:rsid w:val="00BA4D74"/>
    <w:rsid w:val="00BA52A2"/>
    <w:rsid w:val="00BB16F5"/>
    <w:rsid w:val="00BB59AD"/>
    <w:rsid w:val="00BF1471"/>
    <w:rsid w:val="00C12597"/>
    <w:rsid w:val="00C2635B"/>
    <w:rsid w:val="00C33484"/>
    <w:rsid w:val="00C4193D"/>
    <w:rsid w:val="00C41CD9"/>
    <w:rsid w:val="00C47573"/>
    <w:rsid w:val="00C518AE"/>
    <w:rsid w:val="00C67207"/>
    <w:rsid w:val="00C81331"/>
    <w:rsid w:val="00C9502C"/>
    <w:rsid w:val="00CB5455"/>
    <w:rsid w:val="00CC4C46"/>
    <w:rsid w:val="00CD33EF"/>
    <w:rsid w:val="00D1256C"/>
    <w:rsid w:val="00D165E6"/>
    <w:rsid w:val="00D1779E"/>
    <w:rsid w:val="00D17EC1"/>
    <w:rsid w:val="00D34777"/>
    <w:rsid w:val="00D40CD8"/>
    <w:rsid w:val="00D5274E"/>
    <w:rsid w:val="00D85D33"/>
    <w:rsid w:val="00D92196"/>
    <w:rsid w:val="00D9491E"/>
    <w:rsid w:val="00DA0E46"/>
    <w:rsid w:val="00DC1672"/>
    <w:rsid w:val="00DD2D87"/>
    <w:rsid w:val="00DE48B7"/>
    <w:rsid w:val="00E0102F"/>
    <w:rsid w:val="00E05B45"/>
    <w:rsid w:val="00E138A6"/>
    <w:rsid w:val="00E27F50"/>
    <w:rsid w:val="00E34EB9"/>
    <w:rsid w:val="00E54090"/>
    <w:rsid w:val="00E625B9"/>
    <w:rsid w:val="00E77A65"/>
    <w:rsid w:val="00E96DBA"/>
    <w:rsid w:val="00EA53F4"/>
    <w:rsid w:val="00EC0F39"/>
    <w:rsid w:val="00EC288C"/>
    <w:rsid w:val="00ED643B"/>
    <w:rsid w:val="00EE32E6"/>
    <w:rsid w:val="00EF6132"/>
    <w:rsid w:val="00F02845"/>
    <w:rsid w:val="00F22F92"/>
    <w:rsid w:val="00F31472"/>
    <w:rsid w:val="00F330E5"/>
    <w:rsid w:val="00F33CD3"/>
    <w:rsid w:val="00F6016F"/>
    <w:rsid w:val="00F60F30"/>
    <w:rsid w:val="00F71F9B"/>
    <w:rsid w:val="00F76B3D"/>
    <w:rsid w:val="00F77164"/>
    <w:rsid w:val="00F84BB2"/>
    <w:rsid w:val="00F9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798F"/>
    <w:rPr>
      <w:sz w:val="24"/>
      <w:szCs w:val="24"/>
    </w:rPr>
  </w:style>
  <w:style w:type="paragraph" w:styleId="berschrift2">
    <w:name w:val="heading 2"/>
    <w:basedOn w:val="Standard"/>
    <w:qFormat/>
    <w:rsid w:val="00EA53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A53F4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EA53F4"/>
    <w:rPr>
      <w:b/>
      <w:bCs/>
    </w:rPr>
  </w:style>
  <w:style w:type="paragraph" w:styleId="Kopfzeile">
    <w:name w:val="header"/>
    <w:basedOn w:val="Standard"/>
    <w:rsid w:val="00EA53F4"/>
    <w:pPr>
      <w:tabs>
        <w:tab w:val="center" w:pos="4536"/>
        <w:tab w:val="right" w:pos="9072"/>
      </w:tabs>
    </w:pPr>
  </w:style>
  <w:style w:type="character" w:customStyle="1" w:styleId="gelb">
    <w:name w:val="gelb"/>
    <w:basedOn w:val="Absatz-Standardschriftart"/>
    <w:rsid w:val="00F33CD3"/>
  </w:style>
  <w:style w:type="character" w:styleId="Platzhaltertext">
    <w:name w:val="Placeholder Text"/>
    <w:basedOn w:val="Absatz-Standardschriftart"/>
    <w:uiPriority w:val="99"/>
    <w:semiHidden/>
    <w:rsid w:val="00072CC6"/>
    <w:rPr>
      <w:color w:val="808080"/>
    </w:rPr>
  </w:style>
  <w:style w:type="paragraph" w:styleId="Sprechblasentext">
    <w:name w:val="Balloon Text"/>
    <w:basedOn w:val="Standard"/>
    <w:link w:val="SprechblasentextZchn"/>
    <w:rsid w:val="00072C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2CC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E32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E32E6"/>
  </w:style>
  <w:style w:type="character" w:styleId="Funotenzeichen">
    <w:name w:val="footnote reference"/>
    <w:basedOn w:val="Absatz-Standardschriftart"/>
    <w:rsid w:val="00EE32E6"/>
    <w:rPr>
      <w:vertAlign w:val="superscript"/>
    </w:rPr>
  </w:style>
  <w:style w:type="character" w:customStyle="1" w:styleId="def">
    <w:name w:val="def"/>
    <w:basedOn w:val="Absatz-Standardschriftart"/>
    <w:rsid w:val="009C4569"/>
  </w:style>
  <w:style w:type="character" w:customStyle="1" w:styleId="formel">
    <w:name w:val="formel"/>
    <w:basedOn w:val="Absatz-Standardschriftart"/>
    <w:rsid w:val="002B5DA4"/>
  </w:style>
  <w:style w:type="character" w:customStyle="1" w:styleId="form">
    <w:name w:val="form"/>
    <w:basedOn w:val="Absatz-Standardschriftart"/>
    <w:rsid w:val="002B5DA4"/>
  </w:style>
  <w:style w:type="character" w:styleId="Hyperlink">
    <w:name w:val="Hyperlink"/>
    <w:basedOn w:val="Absatz-Standardschriftart"/>
    <w:rsid w:val="00435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stor.eu/bitstream/10419/75288/1/7498775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pra.ub.uni-muenchen.de/62795/1/MPRA_paper_6279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78AD-32CF-4C11-80D0-6CB4A327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Lohn und Beschäftigung</vt:lpstr>
    </vt:vector>
  </TitlesOfParts>
  <Company> SPD Hamburg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Lohn und Beschäftigung</dc:title>
  <dc:subject/>
  <dc:creator>nach Egmont Kakarot-Handtke</dc:creator>
  <cp:keywords/>
  <dc:description/>
  <cp:lastModifiedBy> </cp:lastModifiedBy>
  <cp:revision>109</cp:revision>
  <cp:lastPrinted>2015-05-08T15:53:00Z</cp:lastPrinted>
  <dcterms:created xsi:type="dcterms:W3CDTF">2015-04-20T12:40:00Z</dcterms:created>
  <dcterms:modified xsi:type="dcterms:W3CDTF">2015-05-13T08:25:00Z</dcterms:modified>
</cp:coreProperties>
</file>